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56E7D" w14:textId="2680B66A" w:rsidR="00DC610C" w:rsidRPr="009D602C" w:rsidRDefault="00DC610C" w:rsidP="00DC610C">
      <w:pPr>
        <w:ind w:left="-720"/>
        <w:jc w:val="both"/>
        <w:rPr>
          <w:rFonts w:ascii="Calibri" w:hAnsi="Calibri"/>
          <w:sz w:val="24"/>
          <w:szCs w:val="24"/>
        </w:rPr>
      </w:pPr>
    </w:p>
    <w:tbl>
      <w:tblPr>
        <w:tblW w:w="0" w:type="auto"/>
        <w:tblLook w:val="04A0" w:firstRow="1" w:lastRow="0" w:firstColumn="1" w:lastColumn="0" w:noHBand="0" w:noVBand="1"/>
      </w:tblPr>
      <w:tblGrid>
        <w:gridCol w:w="7020"/>
        <w:gridCol w:w="7578"/>
      </w:tblGrid>
      <w:tr w:rsidR="00DC610C" w:rsidRPr="009D602C" w14:paraId="59352856" w14:textId="77777777" w:rsidTr="006263CA">
        <w:trPr>
          <w:trHeight w:val="2240"/>
        </w:trPr>
        <w:tc>
          <w:tcPr>
            <w:tcW w:w="7020" w:type="dxa"/>
            <w:shd w:val="clear" w:color="auto" w:fill="auto"/>
          </w:tcPr>
          <w:p w14:paraId="765C833B" w14:textId="77777777" w:rsidR="00DC610C" w:rsidRPr="009D602C" w:rsidRDefault="008315C9" w:rsidP="00DC610C">
            <w:pPr>
              <w:jc w:val="both"/>
              <w:rPr>
                <w:rFonts w:ascii="Calibri" w:eastAsia="Calibri" w:hAnsi="Calibri"/>
                <w:sz w:val="24"/>
                <w:szCs w:val="24"/>
              </w:rPr>
            </w:pPr>
            <w:r w:rsidRPr="009D602C">
              <w:rPr>
                <w:rFonts w:ascii="Calibri" w:eastAsia="Calibri" w:hAnsi="Calibri"/>
                <w:noProof/>
                <w:sz w:val="24"/>
                <w:szCs w:val="24"/>
              </w:rPr>
              <w:drawing>
                <wp:anchor distT="0" distB="0" distL="114300" distR="114300" simplePos="0" relativeHeight="251657728" behindDoc="0" locked="0" layoutInCell="1" allowOverlap="1" wp14:anchorId="394B25EA" wp14:editId="10797667">
                  <wp:simplePos x="0" y="0"/>
                  <wp:positionH relativeFrom="column">
                    <wp:posOffset>481458</wp:posOffset>
                  </wp:positionH>
                  <wp:positionV relativeFrom="paragraph">
                    <wp:posOffset>167117</wp:posOffset>
                  </wp:positionV>
                  <wp:extent cx="2990215" cy="105664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0215"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78" w:type="dxa"/>
            <w:shd w:val="clear" w:color="auto" w:fill="auto"/>
            <w:vAlign w:val="center"/>
          </w:tcPr>
          <w:p w14:paraId="027252E2" w14:textId="77777777" w:rsidR="00196B2A" w:rsidRPr="00196B2A" w:rsidRDefault="00196B2A" w:rsidP="00196B2A">
            <w:pPr>
              <w:jc w:val="center"/>
              <w:rPr>
                <w:rFonts w:ascii="Calibri" w:eastAsia="Calibri" w:hAnsi="Calibri"/>
                <w:b/>
                <w:color w:val="17365D"/>
              </w:rPr>
            </w:pPr>
            <w:r w:rsidRPr="00196B2A">
              <w:rPr>
                <w:rFonts w:ascii="Calibri" w:eastAsia="Calibri" w:hAnsi="Calibri"/>
                <w:b/>
                <w:color w:val="17365D"/>
              </w:rPr>
              <w:t>MATTHIESEN, WICKERT &amp; LEHRER, S.C.</w:t>
            </w:r>
          </w:p>
          <w:p w14:paraId="76E259A0" w14:textId="1E34BC16" w:rsidR="00196B2A" w:rsidRPr="00196B2A" w:rsidRDefault="00196B2A" w:rsidP="00196B2A">
            <w:pPr>
              <w:jc w:val="center"/>
              <w:rPr>
                <w:rFonts w:ascii="Calibri" w:eastAsia="Calibri" w:hAnsi="Calibri"/>
                <w:b/>
                <w:bCs/>
                <w:noProof/>
                <w:color w:val="1F3864"/>
                <w:sz w:val="22"/>
                <w:szCs w:val="22"/>
              </w:rPr>
            </w:pPr>
            <w:r w:rsidRPr="00196B2A">
              <w:rPr>
                <w:rFonts w:ascii="Calibri" w:eastAsia="Calibri" w:hAnsi="Calibri"/>
                <w:b/>
                <w:bCs/>
                <w:noProof/>
                <w:color w:val="1F3864"/>
                <w:sz w:val="22"/>
                <w:szCs w:val="22"/>
              </w:rPr>
              <w:t xml:space="preserve">Hartford, WI </w:t>
            </w:r>
            <w:r w:rsidRPr="00196B2A">
              <w:rPr>
                <w:rFonts w:ascii="Wingdings" w:eastAsia="Calibri" w:hAnsi="Wingdings"/>
                <w:noProof/>
                <w:color w:val="A88000"/>
                <w:sz w:val="22"/>
                <w:szCs w:val="22"/>
              </w:rPr>
              <w:t></w:t>
            </w:r>
            <w:r w:rsidRPr="00196B2A">
              <w:rPr>
                <w:rFonts w:ascii="Calibri" w:eastAsia="Calibri" w:hAnsi="Calibri"/>
                <w:b/>
                <w:bCs/>
                <w:noProof/>
                <w:color w:val="1F497D"/>
                <w:sz w:val="22"/>
                <w:szCs w:val="22"/>
              </w:rPr>
              <w:t xml:space="preserve"> </w:t>
            </w:r>
            <w:r w:rsidRPr="00196B2A">
              <w:rPr>
                <w:rFonts w:ascii="Calibri" w:eastAsia="Calibri" w:hAnsi="Calibri"/>
                <w:b/>
                <w:bCs/>
                <w:noProof/>
                <w:color w:val="1F3864"/>
                <w:sz w:val="22"/>
                <w:szCs w:val="22"/>
              </w:rPr>
              <w:t xml:space="preserve">New Orleans, LA </w:t>
            </w:r>
            <w:r w:rsidRPr="00196B2A">
              <w:rPr>
                <w:rFonts w:ascii="Wingdings" w:eastAsia="Calibri" w:hAnsi="Wingdings"/>
                <w:noProof/>
                <w:color w:val="A88000"/>
                <w:sz w:val="22"/>
                <w:szCs w:val="22"/>
              </w:rPr>
              <w:t></w:t>
            </w:r>
            <w:r w:rsidRPr="00196B2A">
              <w:rPr>
                <w:rFonts w:ascii="Calibri" w:eastAsia="Calibri" w:hAnsi="Calibri"/>
                <w:b/>
                <w:bCs/>
                <w:noProof/>
                <w:color w:val="1F497D"/>
                <w:sz w:val="22"/>
                <w:szCs w:val="22"/>
              </w:rPr>
              <w:t xml:space="preserve"> </w:t>
            </w:r>
            <w:r w:rsidR="001A3659">
              <w:rPr>
                <w:rFonts w:ascii="Calibri" w:eastAsia="Calibri" w:hAnsi="Calibri"/>
                <w:b/>
                <w:bCs/>
                <w:noProof/>
                <w:color w:val="1F3864"/>
                <w:sz w:val="22"/>
                <w:szCs w:val="22"/>
              </w:rPr>
              <w:t>Irvine</w:t>
            </w:r>
            <w:r w:rsidRPr="00196B2A">
              <w:rPr>
                <w:rFonts w:ascii="Calibri" w:eastAsia="Calibri" w:hAnsi="Calibri"/>
                <w:b/>
                <w:bCs/>
                <w:noProof/>
                <w:color w:val="1F3864"/>
                <w:sz w:val="22"/>
                <w:szCs w:val="22"/>
              </w:rPr>
              <w:t xml:space="preserve">, CA </w:t>
            </w:r>
          </w:p>
          <w:p w14:paraId="649551CD" w14:textId="56C0A3F7" w:rsidR="00196B2A" w:rsidRPr="00196B2A" w:rsidRDefault="00196B2A" w:rsidP="00196B2A">
            <w:pPr>
              <w:jc w:val="center"/>
              <w:rPr>
                <w:rFonts w:ascii="Calibri" w:eastAsia="Calibri" w:hAnsi="Calibri"/>
                <w:b/>
                <w:bCs/>
                <w:noProof/>
                <w:color w:val="002060"/>
                <w:sz w:val="22"/>
                <w:szCs w:val="22"/>
              </w:rPr>
            </w:pPr>
            <w:r w:rsidRPr="00196B2A">
              <w:rPr>
                <w:rFonts w:ascii="Wingdings" w:eastAsia="Calibri" w:hAnsi="Wingdings"/>
                <w:noProof/>
                <w:color w:val="A88000"/>
                <w:sz w:val="22"/>
                <w:szCs w:val="22"/>
              </w:rPr>
              <w:t></w:t>
            </w:r>
            <w:r w:rsidRPr="00196B2A">
              <w:rPr>
                <w:rFonts w:ascii="Calibri" w:eastAsia="Calibri" w:hAnsi="Calibri"/>
                <w:b/>
                <w:bCs/>
                <w:noProof/>
                <w:color w:val="1F497D"/>
                <w:sz w:val="22"/>
                <w:szCs w:val="22"/>
              </w:rPr>
              <w:t xml:space="preserve"> </w:t>
            </w:r>
            <w:r w:rsidRPr="00196B2A">
              <w:rPr>
                <w:rFonts w:ascii="Calibri" w:eastAsia="Calibri" w:hAnsi="Calibri"/>
                <w:b/>
                <w:bCs/>
                <w:noProof/>
                <w:color w:val="1F3864"/>
                <w:sz w:val="22"/>
                <w:szCs w:val="22"/>
              </w:rPr>
              <w:t xml:space="preserve">Austin, TX </w:t>
            </w:r>
            <w:r w:rsidRPr="00196B2A">
              <w:rPr>
                <w:rFonts w:ascii="Wingdings" w:eastAsia="Calibri" w:hAnsi="Wingdings"/>
                <w:noProof/>
                <w:color w:val="A88000"/>
                <w:sz w:val="22"/>
                <w:szCs w:val="22"/>
              </w:rPr>
              <w:t></w:t>
            </w:r>
            <w:r w:rsidRPr="00196B2A">
              <w:rPr>
                <w:rFonts w:ascii="Calibri" w:eastAsia="Calibri" w:hAnsi="Calibri"/>
                <w:b/>
                <w:bCs/>
                <w:noProof/>
                <w:color w:val="1F497D"/>
                <w:sz w:val="22"/>
                <w:szCs w:val="22"/>
              </w:rPr>
              <w:t xml:space="preserve"> </w:t>
            </w:r>
            <w:r w:rsidRPr="00196B2A">
              <w:rPr>
                <w:rFonts w:ascii="Calibri" w:eastAsia="Calibri" w:hAnsi="Calibri"/>
                <w:b/>
                <w:bCs/>
                <w:noProof/>
                <w:color w:val="1F3864"/>
                <w:sz w:val="22"/>
                <w:szCs w:val="22"/>
              </w:rPr>
              <w:t>Jacksonville, FL</w:t>
            </w:r>
            <w:r w:rsidR="00FD6E7E">
              <w:rPr>
                <w:rFonts w:ascii="Calibri" w:eastAsia="Calibri" w:hAnsi="Calibri"/>
                <w:b/>
                <w:bCs/>
                <w:noProof/>
                <w:color w:val="1F3864"/>
                <w:sz w:val="22"/>
                <w:szCs w:val="22"/>
              </w:rPr>
              <w:t xml:space="preserve"> </w:t>
            </w:r>
            <w:r w:rsidR="00FD6E7E" w:rsidRPr="00196B2A">
              <w:rPr>
                <w:rFonts w:ascii="Wingdings" w:eastAsia="Calibri" w:hAnsi="Wingdings"/>
                <w:noProof/>
                <w:color w:val="A88000"/>
                <w:sz w:val="22"/>
                <w:szCs w:val="22"/>
              </w:rPr>
              <w:t></w:t>
            </w:r>
            <w:r w:rsidR="00FD6E7E" w:rsidRPr="00196B2A">
              <w:rPr>
                <w:rFonts w:ascii="Calibri" w:eastAsia="Calibri" w:hAnsi="Calibri"/>
                <w:b/>
                <w:bCs/>
                <w:noProof/>
                <w:color w:val="1F497D"/>
                <w:sz w:val="22"/>
                <w:szCs w:val="22"/>
              </w:rPr>
              <w:t xml:space="preserve"> </w:t>
            </w:r>
            <w:r w:rsidR="00FD6E7E">
              <w:rPr>
                <w:rFonts w:ascii="Calibri" w:eastAsia="Calibri" w:hAnsi="Calibri"/>
                <w:b/>
                <w:bCs/>
                <w:noProof/>
                <w:color w:val="1F3864"/>
                <w:sz w:val="22"/>
                <w:szCs w:val="22"/>
              </w:rPr>
              <w:t>Milltown, NJ</w:t>
            </w:r>
          </w:p>
          <w:p w14:paraId="4F700DFF" w14:textId="77777777" w:rsidR="00196B2A" w:rsidRPr="00196B2A" w:rsidRDefault="00196B2A" w:rsidP="00196B2A">
            <w:pPr>
              <w:jc w:val="center"/>
              <w:rPr>
                <w:rFonts w:ascii="Calibri" w:eastAsia="Calibri" w:hAnsi="Calibri"/>
                <w:b/>
                <w:color w:val="17365D"/>
                <w:sz w:val="22"/>
                <w:szCs w:val="22"/>
              </w:rPr>
            </w:pPr>
            <w:r w:rsidRPr="00196B2A">
              <w:rPr>
                <w:rFonts w:ascii="Calibri" w:eastAsia="Calibri" w:hAnsi="Calibri"/>
                <w:b/>
                <w:color w:val="17365D"/>
                <w:sz w:val="22"/>
                <w:szCs w:val="22"/>
              </w:rPr>
              <w:t>Phone: (800) 637-9176</w:t>
            </w:r>
          </w:p>
          <w:p w14:paraId="18D5D864" w14:textId="77777777" w:rsidR="00196B2A" w:rsidRPr="00196B2A" w:rsidRDefault="00C705CB" w:rsidP="00196B2A">
            <w:pPr>
              <w:jc w:val="center"/>
              <w:rPr>
                <w:rFonts w:ascii="Calibri" w:eastAsia="Calibri" w:hAnsi="Calibri" w:cs="Calibri"/>
                <w:b/>
                <w:bCs/>
                <w:color w:val="1F3864"/>
                <w:sz w:val="22"/>
                <w:szCs w:val="22"/>
              </w:rPr>
            </w:pPr>
            <w:hyperlink r:id="rId9" w:history="1">
              <w:r w:rsidR="00196B2A" w:rsidRPr="00196B2A">
                <w:rPr>
                  <w:rFonts w:ascii="Calibri" w:hAnsi="Calibri" w:cs="Calibri"/>
                  <w:b/>
                  <w:bCs/>
                  <w:color w:val="002060"/>
                  <w:sz w:val="22"/>
                  <w:szCs w:val="22"/>
                  <w:u w:val="single"/>
                </w:rPr>
                <w:t>gwickert@mwl-law.com</w:t>
              </w:r>
            </w:hyperlink>
            <w:hyperlink r:id="rId10" w:history="1"/>
          </w:p>
          <w:p w14:paraId="0D5A3879" w14:textId="14B4C9A6" w:rsidR="00DC610C" w:rsidRPr="009D602C" w:rsidRDefault="00C705CB" w:rsidP="00226BCA">
            <w:pPr>
              <w:jc w:val="center"/>
              <w:rPr>
                <w:rFonts w:ascii="Calibri" w:eastAsia="Calibri" w:hAnsi="Calibri"/>
                <w:b/>
                <w:sz w:val="24"/>
                <w:szCs w:val="24"/>
              </w:rPr>
            </w:pPr>
            <w:hyperlink r:id="rId11" w:history="1">
              <w:r w:rsidR="00196B2A" w:rsidRPr="00196B2A">
                <w:rPr>
                  <w:rFonts w:ascii="Calibri" w:eastAsia="Calibri" w:hAnsi="Calibri"/>
                  <w:b/>
                  <w:color w:val="1F3864"/>
                  <w:sz w:val="22"/>
                  <w:szCs w:val="22"/>
                  <w:u w:val="single"/>
                </w:rPr>
                <w:t>www.mwl-law.com</w:t>
              </w:r>
            </w:hyperlink>
          </w:p>
        </w:tc>
      </w:tr>
      <w:tr w:rsidR="00DC610C" w:rsidRPr="00943F77" w14:paraId="693D0B75" w14:textId="77777777" w:rsidTr="006263CA">
        <w:trPr>
          <w:trHeight w:val="710"/>
        </w:trPr>
        <w:tc>
          <w:tcPr>
            <w:tcW w:w="14596" w:type="dxa"/>
            <w:gridSpan w:val="2"/>
            <w:shd w:val="clear" w:color="auto" w:fill="auto"/>
            <w:vAlign w:val="center"/>
          </w:tcPr>
          <w:p w14:paraId="675955CA" w14:textId="77777777" w:rsidR="00DC610C" w:rsidRPr="00A6631E" w:rsidRDefault="00D81372" w:rsidP="00DC610C">
            <w:pPr>
              <w:jc w:val="center"/>
              <w:rPr>
                <w:rFonts w:ascii="Calibri" w:eastAsia="Calibri" w:hAnsi="Calibri"/>
                <w:b/>
                <w:color w:val="0F243E"/>
                <w:sz w:val="26"/>
                <w:szCs w:val="26"/>
              </w:rPr>
            </w:pPr>
            <w:r w:rsidRPr="00A6631E">
              <w:rPr>
                <w:rFonts w:ascii="Calibri" w:eastAsia="Calibri" w:hAnsi="Calibri"/>
                <w:b/>
                <w:color w:val="0F243E"/>
                <w:sz w:val="26"/>
                <w:szCs w:val="26"/>
              </w:rPr>
              <w:t>THE ANTI-SUBROGATION RULE IN ALL 50 STATES</w:t>
            </w:r>
          </w:p>
        </w:tc>
      </w:tr>
    </w:tbl>
    <w:p w14:paraId="65ED88FA" w14:textId="2741243C" w:rsidR="00BA0088" w:rsidRPr="00696E3D" w:rsidRDefault="00BA0088" w:rsidP="00EE2D3A">
      <w:pPr>
        <w:jc w:val="both"/>
        <w:rPr>
          <w:rFonts w:ascii="Calibri" w:hAnsi="Calibri"/>
          <w:sz w:val="22"/>
          <w:szCs w:val="22"/>
        </w:rPr>
      </w:pPr>
      <w:r w:rsidRPr="00696E3D">
        <w:rPr>
          <w:rFonts w:ascii="Calibri" w:hAnsi="Calibri"/>
          <w:sz w:val="22"/>
          <w:szCs w:val="22"/>
        </w:rPr>
        <w:t>The Anti-Subrogation Rule (</w:t>
      </w:r>
      <w:r w:rsidR="000908E0">
        <w:rPr>
          <w:rFonts w:ascii="Calibri" w:hAnsi="Calibri"/>
          <w:sz w:val="22"/>
          <w:szCs w:val="22"/>
        </w:rPr>
        <w:t>“</w:t>
      </w:r>
      <w:r w:rsidRPr="00696E3D">
        <w:rPr>
          <w:rFonts w:ascii="Calibri" w:hAnsi="Calibri"/>
          <w:sz w:val="22"/>
          <w:szCs w:val="22"/>
        </w:rPr>
        <w:t>ASR</w:t>
      </w:r>
      <w:r w:rsidR="000908E0">
        <w:rPr>
          <w:rFonts w:ascii="Calibri" w:hAnsi="Calibri"/>
          <w:sz w:val="22"/>
          <w:szCs w:val="22"/>
        </w:rPr>
        <w:t>”</w:t>
      </w:r>
      <w:r w:rsidRPr="00696E3D">
        <w:rPr>
          <w:rFonts w:ascii="Calibri" w:hAnsi="Calibri"/>
          <w:sz w:val="22"/>
          <w:szCs w:val="22"/>
        </w:rPr>
        <w:t>) is a common law defense to subrogation</w:t>
      </w:r>
      <w:r w:rsidR="000A4651" w:rsidRPr="00696E3D">
        <w:rPr>
          <w:rFonts w:ascii="Calibri" w:hAnsi="Calibri"/>
          <w:sz w:val="22"/>
          <w:szCs w:val="22"/>
        </w:rPr>
        <w:t>. It states</w:t>
      </w:r>
      <w:r w:rsidRPr="00696E3D">
        <w:rPr>
          <w:rFonts w:ascii="Calibri" w:hAnsi="Calibri"/>
          <w:sz w:val="22"/>
          <w:szCs w:val="22"/>
        </w:rPr>
        <w:t xml:space="preserve"> that a subrogated insurance company standing in the shoes of its insured cannot bring a subrogation action against or sue its own insured. Sometimes as the “suing your own insured” defense, the ASR was originally developed based on the logical premise that because the carrier stands in the shoes of </w:t>
      </w:r>
      <w:r w:rsidR="00364A5C" w:rsidRPr="00696E3D">
        <w:rPr>
          <w:rFonts w:ascii="Calibri" w:hAnsi="Calibri"/>
          <w:sz w:val="22"/>
          <w:szCs w:val="22"/>
        </w:rPr>
        <w:t>it’s</w:t>
      </w:r>
      <w:r w:rsidRPr="00696E3D">
        <w:rPr>
          <w:rFonts w:ascii="Calibri" w:hAnsi="Calibri"/>
          <w:sz w:val="22"/>
          <w:szCs w:val="22"/>
        </w:rPr>
        <w:t xml:space="preserve"> insured, it would essentially be suing itself. Therefore, no right of subrogation can arise in favor of an insurance company against its own insured. </w:t>
      </w:r>
      <w:r w:rsidRPr="00696E3D">
        <w:rPr>
          <w:rFonts w:ascii="Calibri" w:hAnsi="Calibri"/>
          <w:i/>
          <w:sz w:val="22"/>
          <w:szCs w:val="22"/>
        </w:rPr>
        <w:t>Wager v. Providence Ins. Co</w:t>
      </w:r>
      <w:r w:rsidRPr="00696E3D">
        <w:rPr>
          <w:rFonts w:ascii="Calibri" w:hAnsi="Calibri"/>
          <w:sz w:val="22"/>
          <w:szCs w:val="22"/>
        </w:rPr>
        <w:t>., 150 U.S. 99 (1893);</w:t>
      </w:r>
      <w:r w:rsidR="00364A5C" w:rsidRPr="00696E3D">
        <w:rPr>
          <w:rFonts w:ascii="Calibri" w:hAnsi="Calibri"/>
          <w:sz w:val="22"/>
          <w:szCs w:val="22"/>
        </w:rPr>
        <w:t xml:space="preserve"> </w:t>
      </w:r>
      <w:r w:rsidRPr="00696E3D">
        <w:rPr>
          <w:rFonts w:ascii="Calibri" w:hAnsi="Calibri"/>
          <w:i/>
          <w:sz w:val="22"/>
          <w:szCs w:val="22"/>
        </w:rPr>
        <w:t>The John Russell</w:t>
      </w:r>
      <w:r w:rsidRPr="00696E3D">
        <w:rPr>
          <w:rFonts w:ascii="Calibri" w:hAnsi="Calibri"/>
          <w:sz w:val="22"/>
          <w:szCs w:val="22"/>
        </w:rPr>
        <w:t>, 68 F.2d 901 (2</w:t>
      </w:r>
      <w:r w:rsidR="00364A5C" w:rsidRPr="00696E3D">
        <w:rPr>
          <w:rFonts w:ascii="Calibri" w:hAnsi="Calibri"/>
          <w:sz w:val="22"/>
          <w:szCs w:val="22"/>
          <w:vertAlign w:val="superscript"/>
        </w:rPr>
        <w:t>n</w:t>
      </w:r>
      <w:r w:rsidRPr="00696E3D">
        <w:rPr>
          <w:rFonts w:ascii="Calibri" w:hAnsi="Calibri"/>
          <w:sz w:val="22"/>
          <w:szCs w:val="22"/>
          <w:vertAlign w:val="superscript"/>
        </w:rPr>
        <w:t>d</w:t>
      </w:r>
      <w:r w:rsidR="00364A5C" w:rsidRPr="00696E3D">
        <w:rPr>
          <w:rFonts w:ascii="Calibri" w:hAnsi="Calibri"/>
          <w:sz w:val="22"/>
          <w:szCs w:val="22"/>
        </w:rPr>
        <w:t xml:space="preserve"> </w:t>
      </w:r>
      <w:r w:rsidRPr="00696E3D">
        <w:rPr>
          <w:rFonts w:ascii="Calibri" w:hAnsi="Calibri"/>
          <w:sz w:val="22"/>
          <w:szCs w:val="22"/>
        </w:rPr>
        <w:t>Cir. 1934);</w:t>
      </w:r>
      <w:r w:rsidR="00364A5C" w:rsidRPr="00696E3D">
        <w:rPr>
          <w:rFonts w:ascii="Calibri" w:hAnsi="Calibri"/>
          <w:sz w:val="22"/>
          <w:szCs w:val="22"/>
        </w:rPr>
        <w:t xml:space="preserve"> </w:t>
      </w:r>
      <w:r w:rsidRPr="00696E3D">
        <w:rPr>
          <w:rFonts w:ascii="Calibri" w:hAnsi="Calibri"/>
          <w:i/>
          <w:sz w:val="22"/>
          <w:szCs w:val="22"/>
        </w:rPr>
        <w:t>Sherwood Trucking, Inc. v. Carolina Cas. Ins. Co</w:t>
      </w:r>
      <w:r w:rsidRPr="00696E3D">
        <w:rPr>
          <w:rFonts w:ascii="Calibri" w:hAnsi="Calibri"/>
          <w:sz w:val="22"/>
          <w:szCs w:val="22"/>
        </w:rPr>
        <w:t>., 552 F.2d 568 (4</w:t>
      </w:r>
      <w:r w:rsidRPr="00696E3D">
        <w:rPr>
          <w:rFonts w:ascii="Calibri" w:hAnsi="Calibri"/>
          <w:sz w:val="22"/>
          <w:szCs w:val="22"/>
          <w:vertAlign w:val="superscript"/>
        </w:rPr>
        <w:t>th</w:t>
      </w:r>
      <w:r w:rsidR="00364A5C" w:rsidRPr="00696E3D">
        <w:rPr>
          <w:rFonts w:ascii="Calibri" w:hAnsi="Calibri"/>
          <w:sz w:val="22"/>
          <w:szCs w:val="22"/>
        </w:rPr>
        <w:t xml:space="preserve"> </w:t>
      </w:r>
      <w:r w:rsidRPr="00696E3D">
        <w:rPr>
          <w:rFonts w:ascii="Calibri" w:hAnsi="Calibri"/>
          <w:sz w:val="22"/>
          <w:szCs w:val="22"/>
        </w:rPr>
        <w:t xml:space="preserve">Cir. 1977); </w:t>
      </w:r>
      <w:r w:rsidRPr="00696E3D">
        <w:rPr>
          <w:rFonts w:ascii="Calibri" w:hAnsi="Calibri"/>
          <w:i/>
          <w:sz w:val="22"/>
          <w:szCs w:val="22"/>
        </w:rPr>
        <w:t>Peavey Co. v. M/V ANPA</w:t>
      </w:r>
      <w:r w:rsidRPr="00696E3D">
        <w:rPr>
          <w:rFonts w:ascii="Calibri" w:hAnsi="Calibri"/>
          <w:sz w:val="22"/>
          <w:szCs w:val="22"/>
        </w:rPr>
        <w:t>, 971 F.2d 1168 (5</w:t>
      </w:r>
      <w:r w:rsidRPr="00696E3D">
        <w:rPr>
          <w:rFonts w:ascii="Calibri" w:hAnsi="Calibri"/>
          <w:sz w:val="22"/>
          <w:szCs w:val="22"/>
          <w:vertAlign w:val="superscript"/>
        </w:rPr>
        <w:t>th</w:t>
      </w:r>
      <w:r w:rsidR="00364A5C" w:rsidRPr="00696E3D">
        <w:rPr>
          <w:rFonts w:ascii="Calibri" w:hAnsi="Calibri"/>
          <w:sz w:val="22"/>
          <w:szCs w:val="22"/>
        </w:rPr>
        <w:t xml:space="preserve"> Cir. 1992) </w:t>
      </w:r>
      <w:r w:rsidRPr="00696E3D">
        <w:rPr>
          <w:rFonts w:ascii="Calibri" w:hAnsi="Calibri"/>
          <w:sz w:val="22"/>
          <w:szCs w:val="22"/>
        </w:rPr>
        <w:t>(</w:t>
      </w:r>
      <w:r w:rsidRPr="00696E3D">
        <w:rPr>
          <w:rFonts w:ascii="Calibri" w:hAnsi="Calibri"/>
          <w:bCs/>
          <w:sz w:val="22"/>
          <w:szCs w:val="22"/>
        </w:rPr>
        <w:t>insured</w:t>
      </w:r>
      <w:r w:rsidR="00243E3D">
        <w:rPr>
          <w:rFonts w:ascii="Calibri" w:hAnsi="Calibri"/>
          <w:sz w:val="22"/>
          <w:szCs w:val="22"/>
        </w:rPr>
        <w:t xml:space="preserve"> or additional ins</w:t>
      </w:r>
      <w:r w:rsidRPr="00696E3D">
        <w:rPr>
          <w:rFonts w:ascii="Calibri" w:hAnsi="Calibri"/>
          <w:sz w:val="22"/>
          <w:szCs w:val="22"/>
        </w:rPr>
        <w:t>ured);</w:t>
      </w:r>
      <w:r w:rsidR="00364A5C" w:rsidRPr="00696E3D">
        <w:rPr>
          <w:rFonts w:ascii="Calibri" w:hAnsi="Calibri"/>
          <w:sz w:val="22"/>
          <w:szCs w:val="22"/>
        </w:rPr>
        <w:t xml:space="preserve"> </w:t>
      </w:r>
      <w:r w:rsidRPr="00696E3D">
        <w:rPr>
          <w:rFonts w:ascii="Calibri" w:hAnsi="Calibri"/>
          <w:i/>
          <w:sz w:val="22"/>
          <w:szCs w:val="22"/>
        </w:rPr>
        <w:t>Prestige Cas. Co. v. Michigan Mut. Ins. Co</w:t>
      </w:r>
      <w:r w:rsidRPr="00696E3D">
        <w:rPr>
          <w:rFonts w:ascii="Calibri" w:hAnsi="Calibri"/>
          <w:sz w:val="22"/>
          <w:szCs w:val="22"/>
        </w:rPr>
        <w:t>., 99 F.3d 1340 (6</w:t>
      </w:r>
      <w:r w:rsidRPr="00696E3D">
        <w:rPr>
          <w:rFonts w:ascii="Calibri" w:hAnsi="Calibri"/>
          <w:sz w:val="22"/>
          <w:szCs w:val="22"/>
          <w:vertAlign w:val="superscript"/>
        </w:rPr>
        <w:t>th</w:t>
      </w:r>
      <w:r w:rsidR="00364A5C" w:rsidRPr="00696E3D">
        <w:rPr>
          <w:rFonts w:ascii="Calibri" w:hAnsi="Calibri"/>
          <w:sz w:val="22"/>
          <w:szCs w:val="22"/>
        </w:rPr>
        <w:t xml:space="preserve"> </w:t>
      </w:r>
      <w:r w:rsidRPr="00696E3D">
        <w:rPr>
          <w:rFonts w:ascii="Calibri" w:hAnsi="Calibri"/>
          <w:sz w:val="22"/>
          <w:szCs w:val="22"/>
        </w:rPr>
        <w:t xml:space="preserve">Cir. 1996). This seemingly simple concept has many tentacles and each state has developed </w:t>
      </w:r>
      <w:r w:rsidR="007A559B" w:rsidRPr="00696E3D">
        <w:rPr>
          <w:rFonts w:ascii="Calibri" w:hAnsi="Calibri"/>
          <w:sz w:val="22"/>
          <w:szCs w:val="22"/>
        </w:rPr>
        <w:t xml:space="preserve">their own bodies of law with regard to how and when the ASR will be applied, setting forth numerous exceptions and rules regarding its application. This chart will provide an overview of the ASR generally, as well as the nuances of its application in each state. </w:t>
      </w:r>
      <w:r w:rsidR="003B0552" w:rsidRPr="00696E3D">
        <w:rPr>
          <w:rFonts w:ascii="Calibri" w:hAnsi="Calibri"/>
          <w:sz w:val="22"/>
          <w:szCs w:val="22"/>
        </w:rPr>
        <w:t xml:space="preserve">The ASR can be set forth in case law or by state statute. </w:t>
      </w:r>
    </w:p>
    <w:p w14:paraId="64ACDA3A" w14:textId="77777777" w:rsidR="003B0552" w:rsidRPr="00696E3D" w:rsidRDefault="003B0552" w:rsidP="00364A5C">
      <w:pPr>
        <w:spacing w:before="120" w:after="120"/>
        <w:jc w:val="both"/>
        <w:rPr>
          <w:rFonts w:ascii="Calibri" w:hAnsi="Calibri"/>
          <w:sz w:val="22"/>
          <w:szCs w:val="22"/>
        </w:rPr>
      </w:pPr>
      <w:r w:rsidRPr="00696E3D">
        <w:rPr>
          <w:rFonts w:ascii="Calibri" w:hAnsi="Calibri"/>
          <w:sz w:val="22"/>
          <w:szCs w:val="22"/>
        </w:rPr>
        <w:t>The application of the ASR can depend heavily on the facts of the case, the status and legal identity of each of the parties involved, and the terms, conditions, or exclusions of the insurance policy involved and any other written or oral agreements which may be involved. The identity of the insured as a co</w:t>
      </w:r>
      <w:r w:rsidR="00364A5C" w:rsidRPr="00696E3D">
        <w:rPr>
          <w:rFonts w:ascii="Calibri" w:hAnsi="Calibri"/>
          <w:sz w:val="22"/>
          <w:szCs w:val="22"/>
        </w:rPr>
        <w:t>-</w:t>
      </w:r>
      <w:r w:rsidRPr="00696E3D">
        <w:rPr>
          <w:rFonts w:ascii="Calibri" w:hAnsi="Calibri"/>
          <w:sz w:val="22"/>
          <w:szCs w:val="22"/>
        </w:rPr>
        <w:t>insured, an additional insured, an indemnitor, an implied co</w:t>
      </w:r>
      <w:r w:rsidR="00364A5C" w:rsidRPr="00696E3D">
        <w:rPr>
          <w:rFonts w:ascii="Calibri" w:hAnsi="Calibri"/>
          <w:sz w:val="22"/>
          <w:szCs w:val="22"/>
        </w:rPr>
        <w:t>-</w:t>
      </w:r>
      <w:r w:rsidRPr="00696E3D">
        <w:rPr>
          <w:rFonts w:ascii="Calibri" w:hAnsi="Calibri"/>
          <w:sz w:val="22"/>
          <w:szCs w:val="22"/>
        </w:rPr>
        <w:t xml:space="preserve">insured, or as a person or entity </w:t>
      </w:r>
      <w:r w:rsidR="007478A8" w:rsidRPr="00696E3D">
        <w:rPr>
          <w:rFonts w:ascii="Calibri" w:hAnsi="Calibri"/>
          <w:sz w:val="22"/>
          <w:szCs w:val="22"/>
        </w:rPr>
        <w:t>having</w:t>
      </w:r>
      <w:r w:rsidRPr="00696E3D">
        <w:rPr>
          <w:rFonts w:ascii="Calibri" w:hAnsi="Calibri"/>
          <w:sz w:val="22"/>
          <w:szCs w:val="22"/>
        </w:rPr>
        <w:t xml:space="preserve"> some kind of a relationship with or duty to the insured, may play a role in determining whether the ASR is to be applied in a particular case. </w:t>
      </w:r>
      <w:r w:rsidR="007478A8" w:rsidRPr="00696E3D">
        <w:rPr>
          <w:rFonts w:ascii="Calibri" w:hAnsi="Calibri"/>
          <w:sz w:val="22"/>
          <w:szCs w:val="22"/>
        </w:rPr>
        <w:t xml:space="preserve">The ASR </w:t>
      </w:r>
      <w:r w:rsidRPr="00696E3D">
        <w:rPr>
          <w:rFonts w:ascii="Calibri" w:hAnsi="Calibri"/>
          <w:sz w:val="22"/>
          <w:szCs w:val="22"/>
        </w:rPr>
        <w:t xml:space="preserve">may involve prohibiting subrogation against an entity </w:t>
      </w:r>
      <w:r w:rsidR="00406E94">
        <w:rPr>
          <w:rFonts w:ascii="Calibri" w:hAnsi="Calibri"/>
          <w:sz w:val="22"/>
          <w:szCs w:val="22"/>
        </w:rPr>
        <w:t>that is</w:t>
      </w:r>
      <w:r w:rsidRPr="00696E3D">
        <w:rPr>
          <w:rFonts w:ascii="Calibri" w:hAnsi="Calibri"/>
          <w:sz w:val="22"/>
          <w:szCs w:val="22"/>
        </w:rPr>
        <w:t xml:space="preserve"> considered to be a</w:t>
      </w:r>
      <w:r w:rsidR="007478A8" w:rsidRPr="00696E3D">
        <w:rPr>
          <w:rFonts w:ascii="Calibri" w:hAnsi="Calibri"/>
          <w:sz w:val="22"/>
          <w:szCs w:val="22"/>
        </w:rPr>
        <w:t>n “additional insured” or</w:t>
      </w:r>
      <w:r w:rsidRPr="00696E3D">
        <w:rPr>
          <w:rFonts w:ascii="Calibri" w:hAnsi="Calibri"/>
          <w:sz w:val="22"/>
          <w:szCs w:val="22"/>
        </w:rPr>
        <w:t xml:space="preserve"> “co-insured”, either by </w:t>
      </w:r>
      <w:r w:rsidR="007478A8" w:rsidRPr="00696E3D">
        <w:rPr>
          <w:rFonts w:ascii="Calibri" w:hAnsi="Calibri"/>
          <w:sz w:val="22"/>
          <w:szCs w:val="22"/>
        </w:rPr>
        <w:t xml:space="preserve">terms of the insurance policy, case law, or by statute. It may involve a situation where a separate agreement requires the insured to carry insurance for the benefit of a third party. </w:t>
      </w:r>
    </w:p>
    <w:p w14:paraId="563CC321" w14:textId="5D083AB3" w:rsidR="00BA0088" w:rsidRPr="00696E3D" w:rsidRDefault="007478A8" w:rsidP="00364A5C">
      <w:pPr>
        <w:spacing w:before="120" w:after="120"/>
        <w:jc w:val="both"/>
        <w:rPr>
          <w:rFonts w:ascii="Calibri" w:hAnsi="Calibri"/>
          <w:sz w:val="22"/>
          <w:szCs w:val="22"/>
        </w:rPr>
      </w:pPr>
      <w:r w:rsidRPr="00696E3D">
        <w:rPr>
          <w:rFonts w:ascii="Calibri" w:hAnsi="Calibri"/>
          <w:sz w:val="22"/>
          <w:szCs w:val="22"/>
        </w:rPr>
        <w:t>Paramount in the understanding of any ASR situation is the legal status of the tortfeasor. A parent corporation, subsidiary, affiliate</w:t>
      </w:r>
      <w:r w:rsidR="00364A5C" w:rsidRPr="00696E3D">
        <w:rPr>
          <w:rFonts w:ascii="Calibri" w:hAnsi="Calibri"/>
          <w:sz w:val="22"/>
          <w:szCs w:val="22"/>
        </w:rPr>
        <w:t>,</w:t>
      </w:r>
      <w:r w:rsidRPr="00696E3D">
        <w:rPr>
          <w:rFonts w:ascii="Calibri" w:hAnsi="Calibri"/>
          <w:sz w:val="22"/>
          <w:szCs w:val="22"/>
        </w:rPr>
        <w:t xml:space="preserve"> or partner of an insured might be considered a close enough relationship to prohibit subrogation by application of the ASR defense. It will depend on the state. The ASR prohibits actions by an insurer against its insured for recovery of a claim payment under the </w:t>
      </w:r>
      <w:r w:rsidR="00DE3879" w:rsidRPr="00696E3D">
        <w:rPr>
          <w:rFonts w:ascii="Calibri" w:hAnsi="Calibri"/>
          <w:sz w:val="22"/>
          <w:szCs w:val="22"/>
        </w:rPr>
        <w:t>policy but</w:t>
      </w:r>
      <w:r w:rsidRPr="00696E3D">
        <w:rPr>
          <w:rFonts w:ascii="Calibri" w:hAnsi="Calibri"/>
          <w:sz w:val="22"/>
          <w:szCs w:val="22"/>
        </w:rPr>
        <w:t xml:space="preserve"> will sometimes not prohibit an insurance company’s claim for reimbursement from the insured after the insured recovers from a third party who happens to also be insured by the same insurer</w:t>
      </w:r>
      <w:r w:rsidR="00AA39DF" w:rsidRPr="00696E3D">
        <w:rPr>
          <w:rFonts w:ascii="Calibri" w:hAnsi="Calibri"/>
          <w:sz w:val="22"/>
          <w:szCs w:val="22"/>
        </w:rPr>
        <w:t xml:space="preserve">. </w:t>
      </w:r>
      <w:r w:rsidRPr="00696E3D">
        <w:rPr>
          <w:rFonts w:ascii="Calibri" w:hAnsi="Calibri"/>
          <w:sz w:val="22"/>
          <w:szCs w:val="22"/>
        </w:rPr>
        <w:t xml:space="preserve">In states which do not prohibit subrogation under these circumstances, public policy does not prohibit reimbursement where the tortfeasor is insured under a separate policy. </w:t>
      </w:r>
    </w:p>
    <w:p w14:paraId="74169D94" w14:textId="77777777" w:rsidR="00141CA0" w:rsidRPr="00A6631E" w:rsidRDefault="00BA0088" w:rsidP="00696E3D">
      <w:pPr>
        <w:keepNext/>
        <w:spacing w:before="240" w:after="120"/>
        <w:jc w:val="center"/>
        <w:rPr>
          <w:rFonts w:ascii="Calibri" w:hAnsi="Calibri"/>
          <w:b/>
          <w:i/>
          <w:color w:val="1F3864" w:themeColor="accent1" w:themeShade="80"/>
          <w:sz w:val="24"/>
          <w:szCs w:val="24"/>
        </w:rPr>
      </w:pPr>
      <w:r w:rsidRPr="00A6631E">
        <w:rPr>
          <w:rFonts w:ascii="Calibri" w:hAnsi="Calibri"/>
          <w:b/>
          <w:i/>
          <w:color w:val="1F3864" w:themeColor="accent1" w:themeShade="80"/>
          <w:sz w:val="24"/>
          <w:szCs w:val="24"/>
        </w:rPr>
        <w:t>Economic Waste Doctrine</w:t>
      </w:r>
    </w:p>
    <w:p w14:paraId="22A839BE" w14:textId="77777777" w:rsidR="00141CA0" w:rsidRPr="00696E3D" w:rsidRDefault="00141CA0" w:rsidP="00364A5C">
      <w:pPr>
        <w:jc w:val="both"/>
        <w:rPr>
          <w:rFonts w:ascii="Calibri" w:hAnsi="Calibri"/>
          <w:sz w:val="22"/>
          <w:szCs w:val="22"/>
        </w:rPr>
      </w:pPr>
      <w:r w:rsidRPr="00696E3D">
        <w:rPr>
          <w:rFonts w:ascii="Calibri" w:hAnsi="Calibri"/>
          <w:sz w:val="22"/>
          <w:szCs w:val="22"/>
        </w:rPr>
        <w:t>In some jurisdictions, it is considered “to protect against the same risk of loss.</w:t>
      </w:r>
      <w:r w:rsidR="00364A5C" w:rsidRPr="00696E3D">
        <w:rPr>
          <w:rFonts w:ascii="Calibri" w:hAnsi="Calibri"/>
          <w:sz w:val="22"/>
          <w:szCs w:val="22"/>
        </w:rPr>
        <w:t>”</w:t>
      </w:r>
      <w:r w:rsidRPr="00696E3D">
        <w:rPr>
          <w:rFonts w:ascii="Calibri" w:hAnsi="Calibri"/>
          <w:sz w:val="22"/>
          <w:szCs w:val="22"/>
        </w:rPr>
        <w:t xml:space="preserve"> An example is Connecticut, where the Connecticut Supreme Court </w:t>
      </w:r>
      <w:r w:rsidR="00EF5D9B" w:rsidRPr="00696E3D">
        <w:rPr>
          <w:rFonts w:ascii="Calibri" w:hAnsi="Calibri"/>
          <w:sz w:val="22"/>
          <w:szCs w:val="22"/>
        </w:rPr>
        <w:t>in a case wh</w:t>
      </w:r>
      <w:r w:rsidR="00364A5C" w:rsidRPr="00696E3D">
        <w:rPr>
          <w:rFonts w:ascii="Calibri" w:hAnsi="Calibri"/>
          <w:sz w:val="22"/>
          <w:szCs w:val="22"/>
        </w:rPr>
        <w:t>ere</w:t>
      </w:r>
      <w:r w:rsidR="00EF5D9B" w:rsidRPr="00696E3D">
        <w:rPr>
          <w:rFonts w:ascii="Calibri" w:hAnsi="Calibri"/>
          <w:sz w:val="22"/>
          <w:szCs w:val="22"/>
        </w:rPr>
        <w:t xml:space="preserve"> the landlord’s insurer tried to subrogate against a tenant has </w:t>
      </w:r>
      <w:r w:rsidRPr="00696E3D">
        <w:rPr>
          <w:rFonts w:ascii="Calibri" w:hAnsi="Calibri"/>
          <w:sz w:val="22"/>
          <w:szCs w:val="22"/>
        </w:rPr>
        <w:t xml:space="preserve">held that </w:t>
      </w:r>
      <w:r w:rsidR="00EF5D9B" w:rsidRPr="00696E3D">
        <w:rPr>
          <w:rFonts w:ascii="Calibri" w:hAnsi="Calibri"/>
          <w:sz w:val="22"/>
          <w:szCs w:val="22"/>
        </w:rPr>
        <w:t>where a lease</w:t>
      </w:r>
      <w:r w:rsidRPr="00696E3D">
        <w:rPr>
          <w:rFonts w:ascii="Calibri" w:hAnsi="Calibri"/>
          <w:sz w:val="22"/>
          <w:szCs w:val="22"/>
        </w:rPr>
        <w:t xml:space="preserve"> did</w:t>
      </w:r>
      <w:r w:rsidR="00364A5C" w:rsidRPr="00696E3D">
        <w:rPr>
          <w:rFonts w:ascii="Calibri" w:hAnsi="Calibri"/>
          <w:sz w:val="22"/>
          <w:szCs w:val="22"/>
        </w:rPr>
        <w:t xml:space="preserve"> </w:t>
      </w:r>
      <w:r w:rsidRPr="00696E3D">
        <w:rPr>
          <w:rFonts w:ascii="Calibri" w:hAnsi="Calibri"/>
          <w:i/>
          <w:iCs/>
          <w:sz w:val="22"/>
          <w:szCs w:val="22"/>
        </w:rPr>
        <w:t>“not remotely inform the defendant that they would be liable to their landlord’s insurer”</w:t>
      </w:r>
      <w:r w:rsidR="00364A5C" w:rsidRPr="00696E3D">
        <w:rPr>
          <w:rFonts w:ascii="Calibri" w:hAnsi="Calibri"/>
          <w:i/>
          <w:iCs/>
          <w:sz w:val="22"/>
          <w:szCs w:val="22"/>
        </w:rPr>
        <w:t xml:space="preserve"> </w:t>
      </w:r>
      <w:r w:rsidRPr="00696E3D">
        <w:rPr>
          <w:rFonts w:ascii="Calibri" w:hAnsi="Calibri"/>
          <w:sz w:val="22"/>
          <w:szCs w:val="22"/>
        </w:rPr>
        <w:t>for fire damages to the landlord’s building, nor did it inform the defendant of the need to obtain fire insurance</w:t>
      </w:r>
      <w:r w:rsidR="00364A5C" w:rsidRPr="00696E3D">
        <w:rPr>
          <w:rFonts w:ascii="Calibri" w:hAnsi="Calibri"/>
          <w:sz w:val="22"/>
          <w:szCs w:val="22"/>
        </w:rPr>
        <w:t xml:space="preserve"> </w:t>
      </w:r>
      <w:r w:rsidRPr="00696E3D">
        <w:rPr>
          <w:rFonts w:ascii="Calibri" w:hAnsi="Calibri"/>
          <w:i/>
          <w:iCs/>
          <w:sz w:val="22"/>
          <w:szCs w:val="22"/>
        </w:rPr>
        <w:t xml:space="preserve">“to cover the value of the entire multi-unit </w:t>
      </w:r>
      <w:r w:rsidRPr="00696E3D">
        <w:rPr>
          <w:rFonts w:ascii="Calibri" w:hAnsi="Calibri"/>
          <w:i/>
          <w:iCs/>
          <w:sz w:val="22"/>
          <w:szCs w:val="22"/>
        </w:rPr>
        <w:lastRenderedPageBreak/>
        <w:t>apartment building”</w:t>
      </w:r>
      <w:r w:rsidR="00EF5D9B" w:rsidRPr="00696E3D">
        <w:rPr>
          <w:rFonts w:ascii="Calibri" w:hAnsi="Calibri"/>
          <w:i/>
          <w:iCs/>
          <w:sz w:val="22"/>
          <w:szCs w:val="22"/>
        </w:rPr>
        <w:t xml:space="preserve">, </w:t>
      </w:r>
      <w:r w:rsidR="00EF5D9B" w:rsidRPr="00696E3D">
        <w:rPr>
          <w:rFonts w:ascii="Calibri" w:hAnsi="Calibri"/>
          <w:sz w:val="22"/>
          <w:szCs w:val="22"/>
        </w:rPr>
        <w:t>the tenant would be considered to be an “implied co</w:t>
      </w:r>
      <w:r w:rsidR="00243E3D">
        <w:rPr>
          <w:rFonts w:ascii="Calibri" w:hAnsi="Calibri"/>
          <w:sz w:val="22"/>
          <w:szCs w:val="22"/>
        </w:rPr>
        <w:t>-</w:t>
      </w:r>
      <w:r w:rsidR="00EF5D9B" w:rsidRPr="00696E3D">
        <w:rPr>
          <w:rFonts w:ascii="Calibri" w:hAnsi="Calibri"/>
          <w:sz w:val="22"/>
          <w:szCs w:val="22"/>
        </w:rPr>
        <w:t xml:space="preserve">insured” and could not be subrogated against due to the ASR. </w:t>
      </w:r>
      <w:r w:rsidRPr="00696E3D">
        <w:rPr>
          <w:rFonts w:ascii="Calibri" w:hAnsi="Calibri"/>
          <w:sz w:val="22"/>
          <w:szCs w:val="22"/>
        </w:rPr>
        <w:t>One of the reason</w:t>
      </w:r>
      <w:r w:rsidR="00EF5D9B" w:rsidRPr="00696E3D">
        <w:rPr>
          <w:rFonts w:ascii="Calibri" w:hAnsi="Calibri"/>
          <w:sz w:val="22"/>
          <w:szCs w:val="22"/>
        </w:rPr>
        <w:t xml:space="preserve">s for </w:t>
      </w:r>
      <w:r w:rsidRPr="00696E3D">
        <w:rPr>
          <w:rFonts w:ascii="Calibri" w:hAnsi="Calibri"/>
          <w:sz w:val="22"/>
          <w:szCs w:val="22"/>
        </w:rPr>
        <w:t>establish</w:t>
      </w:r>
      <w:r w:rsidR="00EF5D9B" w:rsidRPr="00696E3D">
        <w:rPr>
          <w:rFonts w:ascii="Calibri" w:hAnsi="Calibri"/>
          <w:sz w:val="22"/>
          <w:szCs w:val="22"/>
        </w:rPr>
        <w:t>ing this</w:t>
      </w:r>
      <w:r w:rsidRPr="00696E3D">
        <w:rPr>
          <w:rFonts w:ascii="Calibri" w:hAnsi="Calibri"/>
          <w:sz w:val="22"/>
          <w:szCs w:val="22"/>
        </w:rPr>
        <w:t xml:space="preserve"> “default” rule was to avoid the economic waste of forcing</w:t>
      </w:r>
      <w:r w:rsidR="00364A5C" w:rsidRPr="00696E3D">
        <w:rPr>
          <w:rFonts w:ascii="Calibri" w:hAnsi="Calibri"/>
          <w:sz w:val="22"/>
          <w:szCs w:val="22"/>
        </w:rPr>
        <w:t xml:space="preserve"> </w:t>
      </w:r>
      <w:r w:rsidRPr="00696E3D">
        <w:rPr>
          <w:rFonts w:ascii="Calibri" w:hAnsi="Calibri"/>
          <w:i/>
          <w:iCs/>
          <w:sz w:val="22"/>
          <w:szCs w:val="22"/>
        </w:rPr>
        <w:t>each</w:t>
      </w:r>
      <w:r w:rsidR="00364A5C" w:rsidRPr="00696E3D">
        <w:rPr>
          <w:rFonts w:ascii="Calibri" w:hAnsi="Calibri"/>
          <w:i/>
          <w:iCs/>
          <w:sz w:val="22"/>
          <w:szCs w:val="22"/>
        </w:rPr>
        <w:t xml:space="preserve"> </w:t>
      </w:r>
      <w:r w:rsidRPr="00696E3D">
        <w:rPr>
          <w:rFonts w:ascii="Calibri" w:hAnsi="Calibri"/>
          <w:sz w:val="22"/>
          <w:szCs w:val="22"/>
        </w:rPr>
        <w:t xml:space="preserve">individual tenant in a multi-unit apartment to insure the whole building. </w:t>
      </w:r>
    </w:p>
    <w:p w14:paraId="2ABBF4FB" w14:textId="77777777" w:rsidR="00EE2D3A" w:rsidRPr="00A6631E" w:rsidRDefault="00BA0088" w:rsidP="00696E3D">
      <w:pPr>
        <w:spacing w:before="240" w:after="120"/>
        <w:jc w:val="center"/>
        <w:rPr>
          <w:rFonts w:ascii="Calibri" w:hAnsi="Calibri"/>
          <w:b/>
          <w:i/>
          <w:color w:val="1F3864" w:themeColor="accent1" w:themeShade="80"/>
          <w:sz w:val="24"/>
          <w:szCs w:val="24"/>
        </w:rPr>
      </w:pPr>
      <w:r w:rsidRPr="00A6631E">
        <w:rPr>
          <w:rFonts w:ascii="Calibri" w:hAnsi="Calibri"/>
          <w:b/>
          <w:i/>
          <w:color w:val="1F3864" w:themeColor="accent1" w:themeShade="80"/>
          <w:sz w:val="24"/>
          <w:szCs w:val="24"/>
        </w:rPr>
        <w:t>Implied Co</w:t>
      </w:r>
      <w:r w:rsidR="00364A5C" w:rsidRPr="00A6631E">
        <w:rPr>
          <w:rFonts w:ascii="Calibri" w:hAnsi="Calibri"/>
          <w:b/>
          <w:i/>
          <w:color w:val="1F3864" w:themeColor="accent1" w:themeShade="80"/>
          <w:sz w:val="24"/>
          <w:szCs w:val="24"/>
        </w:rPr>
        <w:t>-I</w:t>
      </w:r>
      <w:r w:rsidRPr="00A6631E">
        <w:rPr>
          <w:rFonts w:ascii="Calibri" w:hAnsi="Calibri"/>
          <w:b/>
          <w:i/>
          <w:color w:val="1F3864" w:themeColor="accent1" w:themeShade="80"/>
          <w:sz w:val="24"/>
          <w:szCs w:val="24"/>
        </w:rPr>
        <w:t>nsured Doctrine</w:t>
      </w:r>
    </w:p>
    <w:p w14:paraId="07B21B8D" w14:textId="77777777" w:rsidR="00EF5D9B" w:rsidRPr="00696E3D" w:rsidRDefault="00EF5D9B" w:rsidP="00364A5C">
      <w:pPr>
        <w:spacing w:before="120" w:after="120"/>
        <w:jc w:val="both"/>
        <w:rPr>
          <w:rFonts w:ascii="Calibri" w:hAnsi="Calibri"/>
          <w:sz w:val="22"/>
          <w:szCs w:val="22"/>
        </w:rPr>
      </w:pPr>
      <w:r w:rsidRPr="00696E3D">
        <w:rPr>
          <w:rFonts w:ascii="Calibri" w:hAnsi="Calibri"/>
          <w:sz w:val="22"/>
          <w:szCs w:val="22"/>
        </w:rPr>
        <w:t>The ability of a landlord’s property insurer to subrogate against a tenant for property damage caused by the negligence of the tenant depends on which state the loss occurs in and the nature and language of the lease involved. There are generally three different approaches:</w:t>
      </w:r>
    </w:p>
    <w:p w14:paraId="56D7A5F2" w14:textId="77777777" w:rsidR="00EF5D9B" w:rsidRPr="00696E3D" w:rsidRDefault="00EF5D9B" w:rsidP="00364A5C">
      <w:pPr>
        <w:spacing w:before="120" w:after="120"/>
        <w:ind w:left="288" w:right="36"/>
        <w:jc w:val="both"/>
        <w:rPr>
          <w:rFonts w:ascii="Calibri" w:hAnsi="Calibri"/>
          <w:sz w:val="22"/>
          <w:szCs w:val="22"/>
        </w:rPr>
      </w:pPr>
      <w:r w:rsidRPr="00696E3D">
        <w:rPr>
          <w:rFonts w:ascii="Calibri" w:hAnsi="Calibri"/>
          <w:sz w:val="22"/>
          <w:szCs w:val="22"/>
        </w:rPr>
        <w:t xml:space="preserve">(1) A minority of courts hold that, absent a clear contractual expression to the contrary, the insurance carrier will be permitted to sue a tenant in subrogation. </w:t>
      </w:r>
    </w:p>
    <w:p w14:paraId="2A0617D2" w14:textId="77777777" w:rsidR="00EF5D9B" w:rsidRPr="00696E3D" w:rsidRDefault="00EF5D9B" w:rsidP="00364A5C">
      <w:pPr>
        <w:spacing w:before="120" w:after="120"/>
        <w:ind w:left="288" w:right="36"/>
        <w:jc w:val="both"/>
        <w:rPr>
          <w:rFonts w:ascii="Calibri" w:hAnsi="Calibri"/>
          <w:sz w:val="22"/>
          <w:szCs w:val="22"/>
        </w:rPr>
      </w:pPr>
      <w:r w:rsidRPr="00696E3D">
        <w:rPr>
          <w:rFonts w:ascii="Calibri" w:hAnsi="Calibri"/>
          <w:sz w:val="22"/>
          <w:szCs w:val="22"/>
        </w:rPr>
        <w:t xml:space="preserve">(2) Seeking to avoid a </w:t>
      </w:r>
      <w:r w:rsidRPr="00696E3D">
        <w:rPr>
          <w:rFonts w:ascii="Calibri" w:hAnsi="Calibri"/>
          <w:i/>
          <w:sz w:val="22"/>
          <w:szCs w:val="22"/>
        </w:rPr>
        <w:t xml:space="preserve">per se </w:t>
      </w:r>
      <w:r w:rsidRPr="00696E3D">
        <w:rPr>
          <w:rFonts w:ascii="Calibri" w:hAnsi="Calibri"/>
          <w:sz w:val="22"/>
          <w:szCs w:val="22"/>
        </w:rPr>
        <w:t xml:space="preserve">rule, in some states the ability to subrogate must be assessed on a case-by-case basis and governed by the intent and reasonable expectations of the parties under the terms of the lease and the facts of case. </w:t>
      </w:r>
    </w:p>
    <w:p w14:paraId="46CCA423" w14:textId="77777777" w:rsidR="00EF5D9B" w:rsidRPr="00696E3D" w:rsidRDefault="00EF5D9B" w:rsidP="00364A5C">
      <w:pPr>
        <w:spacing w:before="120" w:after="120"/>
        <w:ind w:left="288" w:right="36"/>
        <w:jc w:val="both"/>
        <w:rPr>
          <w:rFonts w:ascii="Calibri" w:hAnsi="Calibri"/>
          <w:sz w:val="22"/>
          <w:szCs w:val="22"/>
        </w:rPr>
      </w:pPr>
      <w:r w:rsidRPr="00696E3D">
        <w:rPr>
          <w:rFonts w:ascii="Calibri" w:hAnsi="Calibri"/>
          <w:sz w:val="22"/>
          <w:szCs w:val="22"/>
        </w:rPr>
        <w:t>(3) Known as the “</w:t>
      </w:r>
      <w:r w:rsidRPr="00696E3D">
        <w:rPr>
          <w:rFonts w:ascii="Calibri" w:hAnsi="Calibri"/>
          <w:i/>
          <w:sz w:val="22"/>
          <w:szCs w:val="22"/>
        </w:rPr>
        <w:t>Sutton Rule”</w:t>
      </w:r>
      <w:r w:rsidRPr="00696E3D">
        <w:rPr>
          <w:rFonts w:ascii="Calibri" w:hAnsi="Calibri"/>
          <w:sz w:val="22"/>
          <w:szCs w:val="22"/>
        </w:rPr>
        <w:t>, some states hold that, absent a clearly expressed agreement to the contrary, the tenant is presumed to be a co-insured on the landlord’s insurance policy and</w:t>
      </w:r>
      <w:r w:rsidR="004849E1" w:rsidRPr="00696E3D">
        <w:rPr>
          <w:rFonts w:ascii="Calibri" w:hAnsi="Calibri"/>
          <w:sz w:val="22"/>
          <w:szCs w:val="22"/>
        </w:rPr>
        <w:t>,</w:t>
      </w:r>
      <w:r w:rsidRPr="00696E3D">
        <w:rPr>
          <w:rFonts w:ascii="Calibri" w:hAnsi="Calibri"/>
          <w:sz w:val="22"/>
          <w:szCs w:val="22"/>
        </w:rPr>
        <w:t xml:space="preserve"> therefore</w:t>
      </w:r>
      <w:r w:rsidR="004849E1" w:rsidRPr="00696E3D">
        <w:rPr>
          <w:rFonts w:ascii="Calibri" w:hAnsi="Calibri"/>
          <w:sz w:val="22"/>
          <w:szCs w:val="22"/>
        </w:rPr>
        <w:t>,</w:t>
      </w:r>
      <w:r w:rsidRPr="00696E3D">
        <w:rPr>
          <w:rFonts w:ascii="Calibri" w:hAnsi="Calibri"/>
          <w:sz w:val="22"/>
          <w:szCs w:val="22"/>
        </w:rPr>
        <w:t xml:space="preserve"> the landlord’s insurance carrier has no right of subrogation against the negligent tenant. The rule of subrogation known as the </w:t>
      </w:r>
      <w:r w:rsidRPr="00696E3D">
        <w:rPr>
          <w:rFonts w:ascii="Calibri" w:hAnsi="Calibri"/>
          <w:i/>
          <w:iCs/>
          <w:sz w:val="22"/>
          <w:szCs w:val="22"/>
        </w:rPr>
        <w:t>“Sutton Rule</w:t>
      </w:r>
      <w:r w:rsidRPr="00696E3D">
        <w:rPr>
          <w:rFonts w:ascii="Calibri" w:hAnsi="Calibri"/>
          <w:sz w:val="22"/>
          <w:szCs w:val="22"/>
        </w:rPr>
        <w:t xml:space="preserve">” states that a tenant and landlord are automatically considered “co-insureds” under a fire insurance policy as a matter of law and, therefore, the insurer of the landlord who pays for the fire damage caused by the negligence of a tenant may not sue the tenant in subrogation because it would be tantamount to suing its own insured. </w:t>
      </w:r>
    </w:p>
    <w:p w14:paraId="33C1AC2E" w14:textId="77777777" w:rsidR="00EF5D9B" w:rsidRPr="00696E3D" w:rsidRDefault="00EF5D9B" w:rsidP="00364A5C">
      <w:pPr>
        <w:spacing w:before="120" w:after="120"/>
        <w:jc w:val="both"/>
        <w:rPr>
          <w:rFonts w:ascii="Calibri" w:hAnsi="Calibri"/>
          <w:sz w:val="22"/>
          <w:szCs w:val="22"/>
        </w:rPr>
      </w:pPr>
      <w:r w:rsidRPr="00696E3D">
        <w:rPr>
          <w:rFonts w:ascii="Calibri" w:hAnsi="Calibri"/>
          <w:sz w:val="22"/>
          <w:szCs w:val="22"/>
        </w:rPr>
        <w:t xml:space="preserve">The subject of </w:t>
      </w:r>
      <w:r w:rsidR="00190D59" w:rsidRPr="00696E3D">
        <w:rPr>
          <w:rFonts w:ascii="Calibri" w:hAnsi="Calibri"/>
          <w:sz w:val="22"/>
          <w:szCs w:val="22"/>
        </w:rPr>
        <w:t>when an</w:t>
      </w:r>
      <w:r w:rsidR="004849E1" w:rsidRPr="00696E3D">
        <w:rPr>
          <w:rFonts w:ascii="Calibri" w:hAnsi="Calibri"/>
          <w:sz w:val="22"/>
          <w:szCs w:val="22"/>
        </w:rPr>
        <w:t>d</w:t>
      </w:r>
      <w:r w:rsidR="00190D59" w:rsidRPr="00696E3D">
        <w:rPr>
          <w:rFonts w:ascii="Calibri" w:hAnsi="Calibri"/>
          <w:sz w:val="22"/>
          <w:szCs w:val="22"/>
        </w:rPr>
        <w:t xml:space="preserve"> under what circumstances a landlord’s property insurer can subrogate against a tenant</w:t>
      </w:r>
      <w:r w:rsidRPr="00696E3D">
        <w:rPr>
          <w:rFonts w:ascii="Calibri" w:hAnsi="Calibri"/>
          <w:sz w:val="22"/>
          <w:szCs w:val="22"/>
        </w:rPr>
        <w:t xml:space="preserve"> is not covered in this chart, but is covered thoroughly in another chart that can be found </w:t>
      </w:r>
      <w:hyperlink r:id="rId12" w:history="1">
        <w:r w:rsidRPr="00696E3D">
          <w:rPr>
            <w:rStyle w:val="Hyperlink"/>
            <w:rFonts w:ascii="Calibri" w:hAnsi="Calibri"/>
            <w:sz w:val="22"/>
            <w:szCs w:val="22"/>
          </w:rPr>
          <w:t>HERE</w:t>
        </w:r>
      </w:hyperlink>
      <w:r w:rsidRPr="00696E3D">
        <w:rPr>
          <w:rFonts w:ascii="Calibri" w:hAnsi="Calibri"/>
          <w:sz w:val="22"/>
          <w:szCs w:val="22"/>
        </w:rPr>
        <w:t xml:space="preserve">. </w:t>
      </w:r>
    </w:p>
    <w:p w14:paraId="27F735E8" w14:textId="77777777" w:rsidR="00EF5D9B" w:rsidRPr="00A6631E" w:rsidRDefault="00190D59" w:rsidP="00696E3D">
      <w:pPr>
        <w:spacing w:before="240" w:after="120"/>
        <w:jc w:val="center"/>
        <w:rPr>
          <w:rFonts w:ascii="Calibri" w:hAnsi="Calibri"/>
          <w:b/>
          <w:i/>
          <w:color w:val="1F3864" w:themeColor="accent1" w:themeShade="80"/>
          <w:sz w:val="24"/>
          <w:szCs w:val="24"/>
        </w:rPr>
      </w:pPr>
      <w:r w:rsidRPr="00A6631E">
        <w:rPr>
          <w:rFonts w:ascii="Calibri" w:hAnsi="Calibri"/>
          <w:b/>
          <w:i/>
          <w:color w:val="1F3864" w:themeColor="accent1" w:themeShade="80"/>
          <w:sz w:val="24"/>
          <w:szCs w:val="24"/>
        </w:rPr>
        <w:t>Origins of the Anti-Subrogation Rule</w:t>
      </w:r>
    </w:p>
    <w:p w14:paraId="51DBCCE9" w14:textId="77777777" w:rsidR="00E86FE5" w:rsidRPr="00696E3D" w:rsidRDefault="00912F4B" w:rsidP="009606C6">
      <w:pPr>
        <w:spacing w:before="120" w:after="120"/>
        <w:jc w:val="both"/>
        <w:rPr>
          <w:rFonts w:ascii="Calibri" w:hAnsi="Calibri"/>
          <w:sz w:val="22"/>
          <w:szCs w:val="22"/>
        </w:rPr>
      </w:pPr>
      <w:r w:rsidRPr="00696E3D">
        <w:rPr>
          <w:rFonts w:ascii="Calibri" w:hAnsi="Calibri"/>
          <w:sz w:val="22"/>
          <w:szCs w:val="22"/>
        </w:rPr>
        <w:t>The origins of common law subrogation lie in equity – the body of law which was developed in the English Court of Chancery that traditionally supplemented the common law where the application of the common law would have operated too harshly. This was done to achieve what is sometimes referred to as natural justice, or more simply speaking, fairness.</w:t>
      </w:r>
      <w:r w:rsidR="007F249A" w:rsidRPr="00696E3D">
        <w:rPr>
          <w:rFonts w:ascii="Calibri" w:hAnsi="Calibri"/>
          <w:sz w:val="22"/>
          <w:szCs w:val="22"/>
        </w:rPr>
        <w:t xml:space="preserve"> Subrogation seeks to impose the ultimate responsibility for a wrong or loss on the party who, in equity and goo</w:t>
      </w:r>
      <w:r w:rsidR="009606C6" w:rsidRPr="00696E3D">
        <w:rPr>
          <w:rFonts w:ascii="Calibri" w:hAnsi="Calibri"/>
          <w:sz w:val="22"/>
          <w:szCs w:val="22"/>
        </w:rPr>
        <w:t xml:space="preserve">d conscience, ought to bear it. </w:t>
      </w:r>
      <w:r w:rsidR="007F249A" w:rsidRPr="00696E3D">
        <w:rPr>
          <w:rFonts w:ascii="Calibri" w:hAnsi="Calibri"/>
          <w:sz w:val="22"/>
          <w:szCs w:val="22"/>
        </w:rPr>
        <w:t>The equitable considerations that are the underpinnings of subrogation are (1) that the insured should not recover twice for a single injury, and (2) that the insurer should be reimbursed for payments it made that, in fairness, should be borne by the wrongdoer.</w:t>
      </w:r>
      <w:r w:rsidR="009606C6" w:rsidRPr="00696E3D">
        <w:rPr>
          <w:rFonts w:ascii="Calibri" w:hAnsi="Calibri"/>
          <w:sz w:val="22"/>
          <w:szCs w:val="22"/>
        </w:rPr>
        <w:t xml:space="preserve"> </w:t>
      </w:r>
      <w:r w:rsidR="007F249A" w:rsidRPr="00696E3D">
        <w:rPr>
          <w:rFonts w:ascii="Calibri" w:hAnsi="Calibri"/>
          <w:i/>
          <w:iCs/>
          <w:sz w:val="22"/>
          <w:szCs w:val="22"/>
        </w:rPr>
        <w:t>Powell v. Blue Cross &amp; Blue Shield of Alabama</w:t>
      </w:r>
      <w:r w:rsidR="009606C6" w:rsidRPr="00696E3D">
        <w:rPr>
          <w:rFonts w:ascii="Calibri" w:hAnsi="Calibri"/>
          <w:sz w:val="22"/>
          <w:szCs w:val="22"/>
        </w:rPr>
        <w:t>, 581 So.</w:t>
      </w:r>
      <w:r w:rsidR="007F249A" w:rsidRPr="00696E3D">
        <w:rPr>
          <w:rFonts w:ascii="Calibri" w:hAnsi="Calibri"/>
          <w:sz w:val="22"/>
          <w:szCs w:val="22"/>
        </w:rPr>
        <w:t>2d 772, 774 (Ala. 1990),</w:t>
      </w:r>
      <w:r w:rsidR="009606C6" w:rsidRPr="00696E3D">
        <w:rPr>
          <w:rFonts w:ascii="Calibri" w:hAnsi="Calibri"/>
          <w:sz w:val="22"/>
          <w:szCs w:val="22"/>
        </w:rPr>
        <w:t xml:space="preserve"> </w:t>
      </w:r>
      <w:r w:rsidR="007F249A" w:rsidRPr="00696E3D">
        <w:rPr>
          <w:rFonts w:ascii="Calibri" w:hAnsi="Calibri"/>
          <w:i/>
          <w:iCs/>
          <w:sz w:val="22"/>
          <w:szCs w:val="22"/>
        </w:rPr>
        <w:t xml:space="preserve">overruled on other grounds by Ex </w:t>
      </w:r>
      <w:proofErr w:type="spellStart"/>
      <w:r w:rsidR="007F249A" w:rsidRPr="00696E3D">
        <w:rPr>
          <w:rFonts w:ascii="Calibri" w:hAnsi="Calibri"/>
          <w:i/>
          <w:iCs/>
          <w:sz w:val="22"/>
          <w:szCs w:val="22"/>
        </w:rPr>
        <w:t>parte</w:t>
      </w:r>
      <w:proofErr w:type="spellEnd"/>
      <w:r w:rsidR="007F249A" w:rsidRPr="00696E3D">
        <w:rPr>
          <w:rFonts w:ascii="Calibri" w:hAnsi="Calibri"/>
          <w:i/>
          <w:iCs/>
          <w:sz w:val="22"/>
          <w:szCs w:val="22"/>
        </w:rPr>
        <w:t xml:space="preserve"> State Farm Fire &amp; Cas. Co.</w:t>
      </w:r>
      <w:r w:rsidR="009606C6" w:rsidRPr="00696E3D">
        <w:rPr>
          <w:rFonts w:ascii="Calibri" w:hAnsi="Calibri"/>
          <w:sz w:val="22"/>
          <w:szCs w:val="22"/>
        </w:rPr>
        <w:t>, 764 So.</w:t>
      </w:r>
      <w:r w:rsidR="007F249A" w:rsidRPr="00696E3D">
        <w:rPr>
          <w:rFonts w:ascii="Calibri" w:hAnsi="Calibri"/>
          <w:sz w:val="22"/>
          <w:szCs w:val="22"/>
        </w:rPr>
        <w:t>2d 543 (Ala. 2000);</w:t>
      </w:r>
      <w:r w:rsidR="009606C6" w:rsidRPr="00696E3D">
        <w:rPr>
          <w:rFonts w:ascii="Calibri" w:hAnsi="Calibri"/>
          <w:sz w:val="22"/>
          <w:szCs w:val="22"/>
        </w:rPr>
        <w:t xml:space="preserve"> </w:t>
      </w:r>
      <w:r w:rsidR="007F249A" w:rsidRPr="00406E94">
        <w:rPr>
          <w:rFonts w:ascii="Calibri" w:hAnsi="Calibri"/>
          <w:iCs/>
          <w:sz w:val="22"/>
          <w:szCs w:val="22"/>
          <w:u w:val="single"/>
        </w:rPr>
        <w:t>see</w:t>
      </w:r>
      <w:r w:rsidR="007F249A" w:rsidRPr="00406E94">
        <w:rPr>
          <w:rFonts w:ascii="Calibri" w:hAnsi="Calibri"/>
          <w:iCs/>
          <w:sz w:val="22"/>
          <w:szCs w:val="22"/>
        </w:rPr>
        <w:t xml:space="preserve"> </w:t>
      </w:r>
      <w:r w:rsidR="007F249A" w:rsidRPr="00406E94">
        <w:rPr>
          <w:rFonts w:ascii="Calibri" w:hAnsi="Calibri"/>
          <w:iCs/>
          <w:sz w:val="22"/>
          <w:szCs w:val="22"/>
          <w:u w:val="single"/>
        </w:rPr>
        <w:t>also</w:t>
      </w:r>
      <w:r w:rsidR="007F249A" w:rsidRPr="00696E3D">
        <w:rPr>
          <w:rFonts w:ascii="Calibri" w:hAnsi="Calibri"/>
          <w:i/>
          <w:iCs/>
          <w:sz w:val="22"/>
          <w:szCs w:val="22"/>
        </w:rPr>
        <w:t xml:space="preserve"> Aetna &amp; Cas. Sur. Co. v. Turner</w:t>
      </w:r>
      <w:r w:rsidR="009606C6" w:rsidRPr="00696E3D">
        <w:rPr>
          <w:rFonts w:ascii="Calibri" w:hAnsi="Calibri"/>
          <w:sz w:val="22"/>
          <w:szCs w:val="22"/>
        </w:rPr>
        <w:t>, 662 So.</w:t>
      </w:r>
      <w:r w:rsidR="007F249A" w:rsidRPr="00696E3D">
        <w:rPr>
          <w:rFonts w:ascii="Calibri" w:hAnsi="Calibri"/>
          <w:sz w:val="22"/>
          <w:szCs w:val="22"/>
        </w:rPr>
        <w:t>2d 237 (Ala. 1995);</w:t>
      </w:r>
      <w:r w:rsidR="009606C6" w:rsidRPr="00696E3D">
        <w:rPr>
          <w:rFonts w:ascii="Calibri" w:hAnsi="Calibri"/>
          <w:sz w:val="22"/>
          <w:szCs w:val="22"/>
        </w:rPr>
        <w:t xml:space="preserve"> </w:t>
      </w:r>
      <w:r w:rsidR="007F249A" w:rsidRPr="00696E3D">
        <w:rPr>
          <w:rFonts w:ascii="Calibri" w:hAnsi="Calibri"/>
          <w:i/>
          <w:iCs/>
          <w:sz w:val="22"/>
          <w:szCs w:val="22"/>
        </w:rPr>
        <w:t>Star Freight, Inc. v. Sheffield</w:t>
      </w:r>
      <w:r w:rsidR="009606C6" w:rsidRPr="00696E3D">
        <w:rPr>
          <w:rFonts w:ascii="Calibri" w:hAnsi="Calibri"/>
          <w:sz w:val="22"/>
          <w:szCs w:val="22"/>
        </w:rPr>
        <w:t>, 587 So.</w:t>
      </w:r>
      <w:r w:rsidR="007F249A" w:rsidRPr="00696E3D">
        <w:rPr>
          <w:rFonts w:ascii="Calibri" w:hAnsi="Calibri"/>
          <w:sz w:val="22"/>
          <w:szCs w:val="22"/>
        </w:rPr>
        <w:t>2d 946 (Ala. 1991).</w:t>
      </w:r>
      <w:r w:rsidR="009606C6" w:rsidRPr="00696E3D">
        <w:rPr>
          <w:rFonts w:ascii="Calibri" w:hAnsi="Calibri"/>
          <w:sz w:val="22"/>
          <w:szCs w:val="22"/>
        </w:rPr>
        <w:t xml:space="preserve"> </w:t>
      </w:r>
      <w:r w:rsidR="007F249A" w:rsidRPr="00696E3D">
        <w:rPr>
          <w:rFonts w:ascii="Calibri" w:hAnsi="Calibri"/>
          <w:sz w:val="22"/>
          <w:szCs w:val="22"/>
        </w:rPr>
        <w:t xml:space="preserve">The same equitable principles which gave birth to subrogation were eventually developed </w:t>
      </w:r>
      <w:r w:rsidR="00E86FE5" w:rsidRPr="00696E3D">
        <w:rPr>
          <w:rFonts w:ascii="Calibri" w:hAnsi="Calibri"/>
          <w:sz w:val="22"/>
          <w:szCs w:val="22"/>
        </w:rPr>
        <w:t>into a rule which prohibits an insurer from asserting a right of subrogation against its own insured if the defendant is the insured, a co-insured, or an additional insure</w:t>
      </w:r>
      <w:r w:rsidR="009606C6" w:rsidRPr="00696E3D">
        <w:rPr>
          <w:rFonts w:ascii="Calibri" w:hAnsi="Calibri"/>
          <w:sz w:val="22"/>
          <w:szCs w:val="22"/>
        </w:rPr>
        <w:t>d under the subrogating insurer’</w:t>
      </w:r>
      <w:r w:rsidR="00E86FE5" w:rsidRPr="00696E3D">
        <w:rPr>
          <w:rFonts w:ascii="Calibri" w:hAnsi="Calibri"/>
          <w:sz w:val="22"/>
          <w:szCs w:val="22"/>
        </w:rPr>
        <w:t xml:space="preserve">s policy. Allowing subrogation in these cases would compromise the special relationship between the insured and the insurer. </w:t>
      </w:r>
    </w:p>
    <w:p w14:paraId="7850F95B" w14:textId="77777777" w:rsidR="00E86FE5" w:rsidRPr="00A6631E" w:rsidRDefault="00E86FE5" w:rsidP="00696E3D">
      <w:pPr>
        <w:spacing w:before="240" w:after="120"/>
        <w:jc w:val="center"/>
        <w:rPr>
          <w:rFonts w:ascii="Calibri" w:hAnsi="Calibri"/>
          <w:b/>
          <w:i/>
          <w:color w:val="1F3864" w:themeColor="accent1" w:themeShade="80"/>
          <w:sz w:val="24"/>
          <w:szCs w:val="24"/>
        </w:rPr>
      </w:pPr>
      <w:r w:rsidRPr="00A6631E">
        <w:rPr>
          <w:rFonts w:ascii="Calibri" w:hAnsi="Calibri"/>
          <w:b/>
          <w:i/>
          <w:color w:val="1F3864" w:themeColor="accent1" w:themeShade="80"/>
          <w:sz w:val="24"/>
          <w:szCs w:val="24"/>
        </w:rPr>
        <w:t>Purpose and Application of the Anti-Subrogation Rule</w:t>
      </w:r>
    </w:p>
    <w:p w14:paraId="557B1BC8" w14:textId="77777777" w:rsidR="00E86FE5" w:rsidRPr="00696E3D" w:rsidRDefault="00D21B2C" w:rsidP="00364A5C">
      <w:pPr>
        <w:spacing w:before="120" w:after="120"/>
        <w:rPr>
          <w:rFonts w:ascii="Calibri" w:hAnsi="Calibri"/>
          <w:sz w:val="22"/>
          <w:szCs w:val="22"/>
        </w:rPr>
      </w:pPr>
      <w:r w:rsidRPr="00696E3D">
        <w:rPr>
          <w:rFonts w:ascii="Calibri" w:hAnsi="Calibri"/>
          <w:sz w:val="22"/>
          <w:szCs w:val="22"/>
        </w:rPr>
        <w:t>There are five (5) fundamental reasons for the ASR:</w:t>
      </w:r>
    </w:p>
    <w:p w14:paraId="6EE5AE15" w14:textId="77777777" w:rsidR="00D21B2C" w:rsidRPr="00696E3D" w:rsidRDefault="0089696C" w:rsidP="009606C6">
      <w:pPr>
        <w:numPr>
          <w:ilvl w:val="0"/>
          <w:numId w:val="2"/>
        </w:numPr>
        <w:spacing w:before="120" w:after="120"/>
        <w:jc w:val="both"/>
        <w:rPr>
          <w:rFonts w:ascii="Calibri" w:hAnsi="Calibri"/>
          <w:sz w:val="22"/>
          <w:szCs w:val="22"/>
        </w:rPr>
      </w:pPr>
      <w:r w:rsidRPr="00696E3D">
        <w:rPr>
          <w:rFonts w:ascii="Calibri" w:hAnsi="Calibri"/>
          <w:sz w:val="22"/>
          <w:szCs w:val="22"/>
        </w:rPr>
        <w:t>A</w:t>
      </w:r>
      <w:r w:rsidR="00D21B2C" w:rsidRPr="00696E3D">
        <w:rPr>
          <w:rFonts w:ascii="Calibri" w:hAnsi="Calibri"/>
          <w:sz w:val="22"/>
          <w:szCs w:val="22"/>
        </w:rPr>
        <w:t>n insurer who seeks subrogation stands in the shoes of the insured and can take nothing by subrogation but the rights of</w:t>
      </w:r>
      <w:r w:rsidR="009606C6" w:rsidRPr="00696E3D">
        <w:rPr>
          <w:rFonts w:ascii="Calibri" w:hAnsi="Calibri"/>
          <w:sz w:val="22"/>
          <w:szCs w:val="22"/>
        </w:rPr>
        <w:t xml:space="preserve"> the insured. </w:t>
      </w:r>
      <w:r w:rsidR="00D21B2C" w:rsidRPr="00696E3D">
        <w:rPr>
          <w:rFonts w:ascii="Calibri" w:hAnsi="Calibri"/>
          <w:sz w:val="22"/>
          <w:szCs w:val="22"/>
        </w:rPr>
        <w:t>Because a person cannot sue h</w:t>
      </w:r>
      <w:r w:rsidR="009606C6" w:rsidRPr="00696E3D">
        <w:rPr>
          <w:rFonts w:ascii="Calibri" w:hAnsi="Calibri"/>
          <w:sz w:val="22"/>
          <w:szCs w:val="22"/>
        </w:rPr>
        <w:t>imself for damages, that person’</w:t>
      </w:r>
      <w:r w:rsidR="00D21B2C" w:rsidRPr="00696E3D">
        <w:rPr>
          <w:rFonts w:ascii="Calibri" w:hAnsi="Calibri"/>
          <w:sz w:val="22"/>
          <w:szCs w:val="22"/>
        </w:rPr>
        <w:t>s in</w:t>
      </w:r>
      <w:r w:rsidR="009606C6" w:rsidRPr="00696E3D">
        <w:rPr>
          <w:rFonts w:ascii="Calibri" w:hAnsi="Calibri"/>
          <w:sz w:val="22"/>
          <w:szCs w:val="22"/>
        </w:rPr>
        <w:t>surer, who stands in the person’</w:t>
      </w:r>
      <w:r w:rsidR="00D21B2C" w:rsidRPr="00696E3D">
        <w:rPr>
          <w:rFonts w:ascii="Calibri" w:hAnsi="Calibri"/>
          <w:sz w:val="22"/>
          <w:szCs w:val="22"/>
        </w:rPr>
        <w:t>s shoes for subrogation purposes, cannot sue the person either.</w:t>
      </w:r>
    </w:p>
    <w:p w14:paraId="7C544114" w14:textId="77777777" w:rsidR="00D21B2C" w:rsidRPr="00696E3D" w:rsidRDefault="009606C6" w:rsidP="009606C6">
      <w:pPr>
        <w:numPr>
          <w:ilvl w:val="0"/>
          <w:numId w:val="2"/>
        </w:numPr>
        <w:spacing w:before="120" w:after="120"/>
        <w:jc w:val="both"/>
        <w:rPr>
          <w:rFonts w:ascii="Calibri" w:hAnsi="Calibri"/>
          <w:sz w:val="22"/>
          <w:szCs w:val="22"/>
        </w:rPr>
      </w:pPr>
      <w:r w:rsidRPr="00696E3D">
        <w:rPr>
          <w:rFonts w:ascii="Calibri" w:hAnsi="Calibri"/>
          <w:sz w:val="22"/>
          <w:szCs w:val="22"/>
        </w:rPr>
        <w:t xml:space="preserve">Public policy. An </w:t>
      </w:r>
      <w:r w:rsidR="00D21B2C" w:rsidRPr="00696E3D">
        <w:rPr>
          <w:rFonts w:ascii="Calibri" w:hAnsi="Calibri"/>
          <w:sz w:val="22"/>
          <w:szCs w:val="22"/>
        </w:rPr>
        <w:t xml:space="preserve">insurer that has accepted premiums to cover certain risks should not be allowed to pass the same risks back to its insured in a subrogation action. Otherwise, the insurer would be allowed to avoid the coverage </w:t>
      </w:r>
      <w:r w:rsidRPr="00696E3D">
        <w:rPr>
          <w:rFonts w:ascii="Calibri" w:hAnsi="Calibri"/>
          <w:sz w:val="22"/>
          <w:szCs w:val="22"/>
        </w:rPr>
        <w:t>that the insured has purchased.</w:t>
      </w:r>
    </w:p>
    <w:p w14:paraId="47519A5F" w14:textId="77777777" w:rsidR="00D21B2C" w:rsidRPr="00696E3D" w:rsidRDefault="00D21B2C" w:rsidP="009606C6">
      <w:pPr>
        <w:numPr>
          <w:ilvl w:val="0"/>
          <w:numId w:val="2"/>
        </w:numPr>
        <w:spacing w:before="120" w:after="120"/>
        <w:jc w:val="both"/>
        <w:rPr>
          <w:rFonts w:ascii="Calibri" w:hAnsi="Calibri"/>
          <w:sz w:val="22"/>
          <w:szCs w:val="22"/>
        </w:rPr>
      </w:pPr>
      <w:r w:rsidRPr="00696E3D">
        <w:rPr>
          <w:rFonts w:ascii="Calibri" w:hAnsi="Calibri"/>
          <w:sz w:val="22"/>
          <w:szCs w:val="22"/>
        </w:rPr>
        <w:lastRenderedPageBreak/>
        <w:t>The relationship between an insurer and its insured are fraught with conflicting interests.</w:t>
      </w:r>
    </w:p>
    <w:p w14:paraId="209BFCF7" w14:textId="77777777" w:rsidR="00D21B2C" w:rsidRPr="00696E3D" w:rsidRDefault="00D21B2C" w:rsidP="009606C6">
      <w:pPr>
        <w:numPr>
          <w:ilvl w:val="0"/>
          <w:numId w:val="2"/>
        </w:numPr>
        <w:spacing w:before="120" w:after="120"/>
        <w:jc w:val="both"/>
        <w:rPr>
          <w:rFonts w:ascii="Calibri" w:hAnsi="Calibri"/>
          <w:sz w:val="22"/>
          <w:szCs w:val="22"/>
        </w:rPr>
      </w:pPr>
      <w:r w:rsidRPr="00696E3D">
        <w:rPr>
          <w:rFonts w:ascii="Calibri" w:hAnsi="Calibri"/>
          <w:sz w:val="22"/>
          <w:szCs w:val="22"/>
        </w:rPr>
        <w:t>There is a possibility that, if insurers were permitted to sue their insureds for subrogation, the insurers would be able to obtain information from their insureds under the guise of policy provisions for later use in a subrogation action.</w:t>
      </w:r>
    </w:p>
    <w:p w14:paraId="1B444A07" w14:textId="77777777" w:rsidR="00D21B2C" w:rsidRPr="00696E3D" w:rsidRDefault="00D21B2C" w:rsidP="009606C6">
      <w:pPr>
        <w:numPr>
          <w:ilvl w:val="0"/>
          <w:numId w:val="2"/>
        </w:numPr>
        <w:spacing w:before="120" w:after="120"/>
        <w:jc w:val="both"/>
        <w:rPr>
          <w:rFonts w:ascii="Calibri" w:hAnsi="Calibri"/>
          <w:sz w:val="22"/>
          <w:szCs w:val="22"/>
        </w:rPr>
      </w:pPr>
      <w:r w:rsidRPr="00696E3D">
        <w:rPr>
          <w:rFonts w:ascii="Calibri" w:hAnsi="Calibri"/>
          <w:sz w:val="22"/>
          <w:szCs w:val="22"/>
        </w:rPr>
        <w:t>An insurer</w:t>
      </w:r>
      <w:r w:rsidR="009606C6" w:rsidRPr="00696E3D">
        <w:rPr>
          <w:rFonts w:ascii="Calibri" w:hAnsi="Calibri"/>
          <w:sz w:val="22"/>
          <w:szCs w:val="22"/>
        </w:rPr>
        <w:t>’</w:t>
      </w:r>
      <w:r w:rsidRPr="00696E3D">
        <w:rPr>
          <w:rFonts w:ascii="Calibri" w:hAnsi="Calibri"/>
          <w:sz w:val="22"/>
          <w:szCs w:val="22"/>
        </w:rPr>
        <w:t xml:space="preserve">s right to sue </w:t>
      </w:r>
      <w:r w:rsidR="009606C6" w:rsidRPr="00696E3D">
        <w:rPr>
          <w:rFonts w:ascii="Calibri" w:hAnsi="Calibri"/>
          <w:sz w:val="22"/>
          <w:szCs w:val="22"/>
        </w:rPr>
        <w:t>its</w:t>
      </w:r>
      <w:r w:rsidRPr="00696E3D">
        <w:rPr>
          <w:rFonts w:ascii="Calibri" w:hAnsi="Calibri"/>
          <w:sz w:val="22"/>
          <w:szCs w:val="22"/>
        </w:rPr>
        <w:t xml:space="preserve"> insured could be interpreted by the insurer as a judicial sanction to breach the insurance policy.</w:t>
      </w:r>
      <w:r w:rsidR="0089696C" w:rsidRPr="00696E3D">
        <w:rPr>
          <w:rFonts w:ascii="Calibri" w:hAnsi="Calibri"/>
          <w:sz w:val="22"/>
          <w:szCs w:val="22"/>
        </w:rPr>
        <w:t xml:space="preserve"> </w:t>
      </w:r>
      <w:r w:rsidR="0089696C" w:rsidRPr="00696E3D">
        <w:rPr>
          <w:rFonts w:ascii="Calibri" w:hAnsi="Calibri"/>
          <w:i/>
          <w:iCs/>
          <w:sz w:val="22"/>
          <w:szCs w:val="22"/>
        </w:rPr>
        <w:t>Stafford Metal Works, Inc. v. Cook Paint and Varnish Co.,</w:t>
      </w:r>
      <w:r w:rsidR="009606C6" w:rsidRPr="00696E3D">
        <w:rPr>
          <w:rFonts w:ascii="Calibri" w:hAnsi="Calibri"/>
          <w:sz w:val="22"/>
          <w:szCs w:val="22"/>
        </w:rPr>
        <w:t xml:space="preserve"> </w:t>
      </w:r>
      <w:r w:rsidR="0089696C" w:rsidRPr="00696E3D">
        <w:rPr>
          <w:rFonts w:ascii="Calibri" w:hAnsi="Calibri"/>
          <w:sz w:val="22"/>
          <w:szCs w:val="22"/>
        </w:rPr>
        <w:t>418 F.</w:t>
      </w:r>
      <w:r w:rsidR="009606C6" w:rsidRPr="00696E3D">
        <w:rPr>
          <w:rFonts w:ascii="Calibri" w:hAnsi="Calibri"/>
          <w:sz w:val="22"/>
          <w:szCs w:val="22"/>
        </w:rPr>
        <w:t xml:space="preserve"> </w:t>
      </w:r>
      <w:r w:rsidR="0089696C" w:rsidRPr="00696E3D">
        <w:rPr>
          <w:rFonts w:ascii="Calibri" w:hAnsi="Calibri"/>
          <w:sz w:val="22"/>
          <w:szCs w:val="22"/>
        </w:rPr>
        <w:t>Supp. 56 (N.D.</w:t>
      </w:r>
      <w:r w:rsidR="009606C6" w:rsidRPr="00696E3D">
        <w:rPr>
          <w:rFonts w:ascii="Calibri" w:hAnsi="Calibri"/>
          <w:sz w:val="22"/>
          <w:szCs w:val="22"/>
        </w:rPr>
        <w:t xml:space="preserve"> </w:t>
      </w:r>
      <w:r w:rsidR="0089696C" w:rsidRPr="00696E3D">
        <w:rPr>
          <w:rFonts w:ascii="Calibri" w:hAnsi="Calibri"/>
          <w:sz w:val="22"/>
          <w:szCs w:val="22"/>
        </w:rPr>
        <w:t>Tex.</w:t>
      </w:r>
      <w:r w:rsidR="009606C6" w:rsidRPr="00696E3D">
        <w:rPr>
          <w:rFonts w:ascii="Calibri" w:hAnsi="Calibri"/>
          <w:sz w:val="22"/>
          <w:szCs w:val="22"/>
        </w:rPr>
        <w:t xml:space="preserve"> 1976).</w:t>
      </w:r>
    </w:p>
    <w:p w14:paraId="25D8AE29" w14:textId="458937D4" w:rsidR="00190D59" w:rsidRDefault="00F16D5F" w:rsidP="009606C6">
      <w:pPr>
        <w:spacing w:before="120" w:after="120"/>
        <w:jc w:val="both"/>
        <w:rPr>
          <w:rFonts w:ascii="Calibri" w:hAnsi="Calibri"/>
          <w:sz w:val="22"/>
          <w:szCs w:val="22"/>
        </w:rPr>
      </w:pPr>
      <w:r w:rsidRPr="00696E3D">
        <w:rPr>
          <w:rFonts w:ascii="Calibri" w:hAnsi="Calibri"/>
          <w:sz w:val="22"/>
          <w:szCs w:val="22"/>
        </w:rPr>
        <w:t>To permit the insurer to sue its own insured for a liability covered by the insurance policy would violate basic equity principles, as well as violate sound public policy. Such action, if permitted, would (1) allow the insurer to expend premiums collected from its insured to secure a judgment against the same insured on a risk insured against; (2) give judicial sanction to the breach of the insurance policy by the insurer; (3) permit the insurer to secure information from its insured under the guise of policy provisions available for later use in the insurer</w:t>
      </w:r>
      <w:r w:rsidR="009606C6" w:rsidRPr="00696E3D">
        <w:rPr>
          <w:rFonts w:ascii="Calibri" w:hAnsi="Calibri"/>
          <w:sz w:val="22"/>
          <w:szCs w:val="22"/>
        </w:rPr>
        <w:t>’</w:t>
      </w:r>
      <w:r w:rsidRPr="00696E3D">
        <w:rPr>
          <w:rFonts w:ascii="Calibri" w:hAnsi="Calibri"/>
          <w:sz w:val="22"/>
          <w:szCs w:val="22"/>
        </w:rPr>
        <w:t>s subrogation action against its own insured; (4) allow the insurer to take advantage of its conduct and conflict of interest with its insured; and (5) constitute judicial approval of a breach of the insurer</w:t>
      </w:r>
      <w:r w:rsidR="009606C6" w:rsidRPr="00696E3D">
        <w:rPr>
          <w:rFonts w:ascii="Calibri" w:hAnsi="Calibri"/>
          <w:sz w:val="22"/>
          <w:szCs w:val="22"/>
        </w:rPr>
        <w:t>’</w:t>
      </w:r>
      <w:r w:rsidRPr="00696E3D">
        <w:rPr>
          <w:rFonts w:ascii="Calibri" w:hAnsi="Calibri"/>
          <w:sz w:val="22"/>
          <w:szCs w:val="22"/>
        </w:rPr>
        <w:t>s relationship with its own insured.</w:t>
      </w:r>
      <w:r w:rsidR="009606C6" w:rsidRPr="00696E3D">
        <w:rPr>
          <w:rFonts w:ascii="Calibri" w:hAnsi="Calibri"/>
          <w:sz w:val="22"/>
          <w:szCs w:val="22"/>
        </w:rPr>
        <w:t xml:space="preserve"> </w:t>
      </w:r>
      <w:r w:rsidRPr="00696E3D">
        <w:rPr>
          <w:rFonts w:ascii="Calibri" w:hAnsi="Calibri"/>
          <w:i/>
          <w:iCs/>
          <w:sz w:val="22"/>
          <w:szCs w:val="22"/>
        </w:rPr>
        <w:t>Home Ins</w:t>
      </w:r>
      <w:r w:rsidR="00224717">
        <w:rPr>
          <w:rFonts w:ascii="Calibri" w:hAnsi="Calibri"/>
          <w:i/>
          <w:iCs/>
          <w:sz w:val="22"/>
          <w:szCs w:val="22"/>
        </w:rPr>
        <w:t>.</w:t>
      </w:r>
      <w:r w:rsidRPr="00696E3D">
        <w:rPr>
          <w:rFonts w:ascii="Calibri" w:hAnsi="Calibri"/>
          <w:i/>
          <w:iCs/>
          <w:sz w:val="22"/>
          <w:szCs w:val="22"/>
        </w:rPr>
        <w:t xml:space="preserve"> Co</w:t>
      </w:r>
      <w:r w:rsidR="00224717">
        <w:rPr>
          <w:rFonts w:ascii="Calibri" w:hAnsi="Calibri"/>
          <w:i/>
          <w:iCs/>
          <w:sz w:val="22"/>
          <w:szCs w:val="22"/>
        </w:rPr>
        <w:t>.</w:t>
      </w:r>
      <w:r w:rsidRPr="00696E3D">
        <w:rPr>
          <w:rFonts w:ascii="Calibri" w:hAnsi="Calibri"/>
          <w:i/>
          <w:iCs/>
          <w:sz w:val="22"/>
          <w:szCs w:val="22"/>
        </w:rPr>
        <w:t xml:space="preserve"> v. Pinski Brothers</w:t>
      </w:r>
      <w:r w:rsidRPr="00696E3D">
        <w:rPr>
          <w:rFonts w:ascii="Calibri" w:hAnsi="Calibri"/>
          <w:sz w:val="22"/>
          <w:szCs w:val="22"/>
        </w:rPr>
        <w:t xml:space="preserve">, 500 P.2d 945, 949 (Mont. 1972). </w:t>
      </w:r>
      <w:r w:rsidR="00E86FE5" w:rsidRPr="00696E3D">
        <w:rPr>
          <w:rFonts w:ascii="Calibri" w:hAnsi="Calibri"/>
          <w:sz w:val="22"/>
          <w:szCs w:val="22"/>
        </w:rPr>
        <w:t>The ASR</w:t>
      </w:r>
      <w:r w:rsidRPr="00696E3D">
        <w:rPr>
          <w:rFonts w:ascii="Calibri" w:hAnsi="Calibri"/>
          <w:sz w:val="22"/>
          <w:szCs w:val="22"/>
        </w:rPr>
        <w:t>, therefore,</w:t>
      </w:r>
      <w:r w:rsidR="00E86FE5" w:rsidRPr="00696E3D">
        <w:rPr>
          <w:rFonts w:ascii="Calibri" w:hAnsi="Calibri"/>
          <w:sz w:val="22"/>
          <w:szCs w:val="22"/>
        </w:rPr>
        <w:t xml:space="preserve"> serves two purposes: (1) it prevents the insurer from passing the loss back to its insured, an act that would avoid the coverage that the insured had purchased; and (2) it guards against conflicts of interes</w:t>
      </w:r>
      <w:r w:rsidR="009606C6" w:rsidRPr="00696E3D">
        <w:rPr>
          <w:rFonts w:ascii="Calibri" w:hAnsi="Calibri"/>
          <w:sz w:val="22"/>
          <w:szCs w:val="22"/>
        </w:rPr>
        <w:t>t that might affect the insurer’</w:t>
      </w:r>
      <w:r w:rsidR="00E86FE5" w:rsidRPr="00696E3D">
        <w:rPr>
          <w:rFonts w:ascii="Calibri" w:hAnsi="Calibri"/>
          <w:sz w:val="22"/>
          <w:szCs w:val="22"/>
        </w:rPr>
        <w:t>s incentive to provide a vigorous defense for its insured.</w:t>
      </w:r>
      <w:r w:rsidRPr="00696E3D">
        <w:rPr>
          <w:rFonts w:ascii="Calibri" w:hAnsi="Calibri"/>
          <w:sz w:val="22"/>
          <w:szCs w:val="22"/>
        </w:rPr>
        <w:t xml:space="preserve"> </w:t>
      </w:r>
      <w:r w:rsidRPr="00696E3D">
        <w:rPr>
          <w:rFonts w:ascii="Calibri" w:hAnsi="Calibri"/>
          <w:i/>
          <w:iCs/>
          <w:sz w:val="22"/>
          <w:szCs w:val="22"/>
        </w:rPr>
        <w:t>N.</w:t>
      </w:r>
      <w:r w:rsidR="009606C6" w:rsidRPr="00696E3D">
        <w:rPr>
          <w:rFonts w:ascii="Calibri" w:hAnsi="Calibri"/>
          <w:i/>
          <w:iCs/>
          <w:sz w:val="22"/>
          <w:szCs w:val="22"/>
        </w:rPr>
        <w:t xml:space="preserve"> Star Reinsurance Corp. v. Cont’</w:t>
      </w:r>
      <w:r w:rsidRPr="00696E3D">
        <w:rPr>
          <w:rFonts w:ascii="Calibri" w:hAnsi="Calibri"/>
          <w:i/>
          <w:iCs/>
          <w:sz w:val="22"/>
          <w:szCs w:val="22"/>
        </w:rPr>
        <w:t>l Ins. Co.</w:t>
      </w:r>
      <w:r w:rsidRPr="00696E3D">
        <w:rPr>
          <w:rFonts w:ascii="Calibri" w:hAnsi="Calibri"/>
          <w:sz w:val="22"/>
          <w:szCs w:val="22"/>
        </w:rPr>
        <w:t xml:space="preserve">, 624 N.E.2d 647, 653-54 (N.Y. 1993). </w:t>
      </w:r>
    </w:p>
    <w:p w14:paraId="33A1B711" w14:textId="0F96CACD" w:rsidR="007829BC" w:rsidRPr="00A6631E" w:rsidRDefault="007829BC" w:rsidP="007829BC">
      <w:pPr>
        <w:spacing w:before="240" w:after="120"/>
        <w:jc w:val="center"/>
        <w:rPr>
          <w:rFonts w:ascii="Calibri" w:hAnsi="Calibri"/>
          <w:b/>
          <w:i/>
          <w:color w:val="1F3864" w:themeColor="accent1" w:themeShade="80"/>
          <w:sz w:val="24"/>
          <w:szCs w:val="24"/>
        </w:rPr>
      </w:pPr>
      <w:r>
        <w:rPr>
          <w:rFonts w:ascii="Calibri" w:hAnsi="Calibri"/>
          <w:b/>
          <w:i/>
          <w:color w:val="1F3864" w:themeColor="accent1" w:themeShade="80"/>
          <w:sz w:val="24"/>
          <w:szCs w:val="24"/>
        </w:rPr>
        <w:t>Two Separate Insureds Under Two Separate Policies</w:t>
      </w:r>
    </w:p>
    <w:p w14:paraId="6F64F856" w14:textId="44585E89" w:rsidR="009F2B0A" w:rsidRPr="009F2B0A" w:rsidRDefault="007829BC" w:rsidP="009F2B0A">
      <w:pPr>
        <w:spacing w:before="120" w:after="120"/>
        <w:jc w:val="both"/>
        <w:rPr>
          <w:rFonts w:ascii="Calibri" w:hAnsi="Calibri"/>
          <w:sz w:val="22"/>
          <w:szCs w:val="22"/>
        </w:rPr>
      </w:pPr>
      <w:r>
        <w:rPr>
          <w:rFonts w:ascii="Calibri" w:hAnsi="Calibri"/>
          <w:sz w:val="22"/>
          <w:szCs w:val="22"/>
        </w:rPr>
        <w:t xml:space="preserve">Some jurisdictions make a distinction between subrogating against an insured of the same policy under which the subrogated insurance payments were made and subrogating against a tortfeasor insured under a separate policy. Some do not. In </w:t>
      </w:r>
      <w:r w:rsidRPr="00B80AA2">
        <w:rPr>
          <w:rFonts w:ascii="Calibri" w:hAnsi="Calibri"/>
          <w:b/>
          <w:bCs/>
          <w:sz w:val="22"/>
          <w:szCs w:val="22"/>
        </w:rPr>
        <w:t>Alabama</w:t>
      </w:r>
      <w:r>
        <w:rPr>
          <w:rFonts w:ascii="Calibri" w:hAnsi="Calibri"/>
          <w:sz w:val="22"/>
          <w:szCs w:val="22"/>
        </w:rPr>
        <w:t xml:space="preserve">, the case of </w:t>
      </w:r>
      <w:r w:rsidRPr="007829BC">
        <w:rPr>
          <w:rFonts w:ascii="Calibri" w:hAnsi="Calibri"/>
          <w:i/>
          <w:iCs/>
          <w:sz w:val="22"/>
          <w:szCs w:val="22"/>
        </w:rPr>
        <w:t>Moring v. State Farm Mut. Auto. Ins. Co.</w:t>
      </w:r>
      <w:r w:rsidRPr="007829BC">
        <w:rPr>
          <w:rFonts w:ascii="Calibri" w:hAnsi="Calibri"/>
          <w:sz w:val="22"/>
          <w:szCs w:val="22"/>
        </w:rPr>
        <w:t xml:space="preserve">, 426 So.2d 810 (Ala. 1982), </w:t>
      </w:r>
      <w:r>
        <w:rPr>
          <w:rFonts w:ascii="Calibri" w:hAnsi="Calibri"/>
          <w:sz w:val="22"/>
          <w:szCs w:val="22"/>
        </w:rPr>
        <w:t xml:space="preserve">involved a </w:t>
      </w:r>
      <w:r w:rsidRPr="007829BC">
        <w:rPr>
          <w:rFonts w:ascii="Calibri" w:hAnsi="Calibri"/>
          <w:sz w:val="22"/>
          <w:szCs w:val="22"/>
        </w:rPr>
        <w:t xml:space="preserve">plaintiff </w:t>
      </w:r>
      <w:r>
        <w:rPr>
          <w:rFonts w:ascii="Calibri" w:hAnsi="Calibri"/>
          <w:sz w:val="22"/>
          <w:szCs w:val="22"/>
        </w:rPr>
        <w:t xml:space="preserve">named </w:t>
      </w:r>
      <w:r w:rsidRPr="007829BC">
        <w:rPr>
          <w:rFonts w:ascii="Calibri" w:hAnsi="Calibri"/>
          <w:sz w:val="22"/>
          <w:szCs w:val="22"/>
        </w:rPr>
        <w:t xml:space="preserve">Karen S. Moring was injured in a single vehicle accident in Mobile County. The vehicle in which she was a passenger was being driven by Lawrence D. Phillips. Moring incurred in excess of $13,000 in medical expenses as a result of the injuries she suffered. At the time she was injured, Moring's father, Herbert Moring, had in full force and effect four policies of insurance issued by defendant State Farm Mutual Automobile Insurance Company. The four policies carried medical payment benefits in the aggregate amount of $8,000. </w:t>
      </w:r>
      <w:r w:rsidRPr="00B80AA2">
        <w:rPr>
          <w:rFonts w:ascii="Calibri" w:hAnsi="Calibri"/>
          <w:sz w:val="22"/>
          <w:szCs w:val="22"/>
        </w:rPr>
        <w:t>State Farm also provided liability and medical payments coverage to Lawrence Phillips, under a policy insuring his father Anthony Phillips and his family</w:t>
      </w:r>
      <w:r w:rsidRPr="007829BC">
        <w:rPr>
          <w:rFonts w:ascii="Calibri" w:hAnsi="Calibri"/>
          <w:sz w:val="22"/>
          <w:szCs w:val="22"/>
        </w:rPr>
        <w:t>. The liability limits were $25,000 per person while medical benefits limits were in the amount of $5,000 per person. The court held that under the facts of this case, State Farm had no right of subrogation against the tortfeasor Phillips. Alabama, unlike some other states, applies the ASR to cases, such as our facts, which involve separate insureds under two separate policies.</w:t>
      </w:r>
      <w:r>
        <w:rPr>
          <w:rFonts w:ascii="Calibri" w:hAnsi="Calibri"/>
          <w:sz w:val="22"/>
          <w:szCs w:val="22"/>
        </w:rPr>
        <w:t xml:space="preserve"> </w:t>
      </w:r>
      <w:r w:rsidRPr="00B80AA2">
        <w:rPr>
          <w:rFonts w:ascii="Calibri" w:hAnsi="Calibri"/>
          <w:b/>
          <w:bCs/>
          <w:sz w:val="22"/>
          <w:szCs w:val="22"/>
        </w:rPr>
        <w:t>Nebraska</w:t>
      </w:r>
      <w:r>
        <w:rPr>
          <w:rFonts w:ascii="Calibri" w:hAnsi="Calibri"/>
          <w:sz w:val="22"/>
          <w:szCs w:val="22"/>
        </w:rPr>
        <w:t xml:space="preserve">, </w:t>
      </w:r>
      <w:r w:rsidRPr="00B80AA2">
        <w:rPr>
          <w:rFonts w:ascii="Calibri" w:hAnsi="Calibri"/>
          <w:b/>
          <w:bCs/>
          <w:sz w:val="22"/>
          <w:szCs w:val="22"/>
        </w:rPr>
        <w:t>West Virginia</w:t>
      </w:r>
      <w:r>
        <w:rPr>
          <w:rFonts w:ascii="Calibri" w:hAnsi="Calibri"/>
          <w:sz w:val="22"/>
          <w:szCs w:val="22"/>
        </w:rPr>
        <w:t xml:space="preserve">, and </w:t>
      </w:r>
      <w:r w:rsidRPr="00B80AA2">
        <w:rPr>
          <w:rFonts w:ascii="Calibri" w:hAnsi="Calibri"/>
          <w:b/>
          <w:bCs/>
          <w:sz w:val="22"/>
          <w:szCs w:val="22"/>
        </w:rPr>
        <w:t>Louisiana</w:t>
      </w:r>
      <w:r>
        <w:rPr>
          <w:rFonts w:ascii="Calibri" w:hAnsi="Calibri"/>
          <w:sz w:val="22"/>
          <w:szCs w:val="22"/>
        </w:rPr>
        <w:t xml:space="preserve"> join </w:t>
      </w:r>
      <w:r w:rsidRPr="00B80AA2">
        <w:rPr>
          <w:rFonts w:ascii="Calibri" w:hAnsi="Calibri"/>
          <w:b/>
          <w:bCs/>
          <w:sz w:val="22"/>
          <w:szCs w:val="22"/>
        </w:rPr>
        <w:t>Alabama</w:t>
      </w:r>
      <w:r>
        <w:rPr>
          <w:rFonts w:ascii="Calibri" w:hAnsi="Calibri"/>
          <w:sz w:val="22"/>
          <w:szCs w:val="22"/>
        </w:rPr>
        <w:t xml:space="preserve"> in this approach. </w:t>
      </w:r>
      <w:r w:rsidRPr="00B80AA2">
        <w:rPr>
          <w:rFonts w:ascii="Calibri" w:hAnsi="Calibri"/>
          <w:i/>
          <w:iCs/>
          <w:sz w:val="22"/>
          <w:szCs w:val="22"/>
        </w:rPr>
        <w:t>Control Specialists Co., Inc. v. State Farm Mutual Automobile Insurance Co</w:t>
      </w:r>
      <w:r w:rsidRPr="007829BC">
        <w:rPr>
          <w:rFonts w:ascii="Calibri" w:hAnsi="Calibri"/>
          <w:sz w:val="22"/>
          <w:szCs w:val="22"/>
        </w:rPr>
        <w:t>., 423 N.W.2d 775 (</w:t>
      </w:r>
      <w:r>
        <w:rPr>
          <w:rFonts w:ascii="Calibri" w:hAnsi="Calibri"/>
          <w:sz w:val="22"/>
          <w:szCs w:val="22"/>
        </w:rPr>
        <w:t xml:space="preserve">Neb. </w:t>
      </w:r>
      <w:r w:rsidRPr="007829BC">
        <w:rPr>
          <w:rFonts w:ascii="Calibri" w:hAnsi="Calibri"/>
          <w:sz w:val="22"/>
          <w:szCs w:val="22"/>
        </w:rPr>
        <w:t xml:space="preserve">1988); </w:t>
      </w:r>
      <w:r w:rsidRPr="00B80AA2">
        <w:rPr>
          <w:rFonts w:ascii="Calibri" w:hAnsi="Calibri"/>
          <w:i/>
          <w:iCs/>
          <w:sz w:val="22"/>
          <w:szCs w:val="22"/>
        </w:rPr>
        <w:t>Stetina v. State Farm Mutual Automobile Insurance Co</w:t>
      </w:r>
      <w:r w:rsidRPr="007829BC">
        <w:rPr>
          <w:rFonts w:ascii="Calibri" w:hAnsi="Calibri"/>
          <w:sz w:val="22"/>
          <w:szCs w:val="22"/>
        </w:rPr>
        <w:t>., 243 N.W.2d 341 (</w:t>
      </w:r>
      <w:r>
        <w:rPr>
          <w:rFonts w:ascii="Calibri" w:hAnsi="Calibri"/>
          <w:sz w:val="22"/>
          <w:szCs w:val="22"/>
        </w:rPr>
        <w:t xml:space="preserve">Neb. </w:t>
      </w:r>
      <w:r w:rsidRPr="007829BC">
        <w:rPr>
          <w:rFonts w:ascii="Calibri" w:hAnsi="Calibri"/>
          <w:sz w:val="22"/>
          <w:szCs w:val="22"/>
        </w:rPr>
        <w:t xml:space="preserve">1976); </w:t>
      </w:r>
      <w:r w:rsidRPr="00B80AA2">
        <w:rPr>
          <w:rFonts w:ascii="Calibri" w:hAnsi="Calibri"/>
          <w:i/>
          <w:iCs/>
          <w:sz w:val="22"/>
          <w:szCs w:val="22"/>
        </w:rPr>
        <w:t>Richards v. Allstate Insurance Co</w:t>
      </w:r>
      <w:r w:rsidRPr="007829BC">
        <w:rPr>
          <w:rFonts w:ascii="Calibri" w:hAnsi="Calibri"/>
          <w:sz w:val="22"/>
          <w:szCs w:val="22"/>
        </w:rPr>
        <w:t>., 455 S.E.2d 803 (</w:t>
      </w:r>
      <w:r>
        <w:rPr>
          <w:rFonts w:ascii="Calibri" w:hAnsi="Calibri"/>
          <w:sz w:val="22"/>
          <w:szCs w:val="22"/>
        </w:rPr>
        <w:t xml:space="preserve">W. Va. </w:t>
      </w:r>
      <w:r w:rsidRPr="007829BC">
        <w:rPr>
          <w:rFonts w:ascii="Calibri" w:hAnsi="Calibri"/>
          <w:sz w:val="22"/>
          <w:szCs w:val="22"/>
        </w:rPr>
        <w:t xml:space="preserve">1995); </w:t>
      </w:r>
      <w:r w:rsidRPr="00B80AA2">
        <w:rPr>
          <w:rFonts w:ascii="Calibri" w:hAnsi="Calibri"/>
          <w:i/>
          <w:iCs/>
          <w:sz w:val="22"/>
          <w:szCs w:val="22"/>
        </w:rPr>
        <w:t>Home Insurance Co. v. Pinski Brothers, Inc</w:t>
      </w:r>
      <w:r w:rsidRPr="007829BC">
        <w:rPr>
          <w:rFonts w:ascii="Calibri" w:hAnsi="Calibri"/>
          <w:sz w:val="22"/>
          <w:szCs w:val="22"/>
        </w:rPr>
        <w:t>., 500 P.2d 945 (</w:t>
      </w:r>
      <w:r>
        <w:rPr>
          <w:rFonts w:ascii="Calibri" w:hAnsi="Calibri"/>
          <w:sz w:val="22"/>
          <w:szCs w:val="22"/>
        </w:rPr>
        <w:t xml:space="preserve">Mont. </w:t>
      </w:r>
      <w:r w:rsidRPr="007829BC">
        <w:rPr>
          <w:rFonts w:ascii="Calibri" w:hAnsi="Calibri"/>
          <w:sz w:val="22"/>
          <w:szCs w:val="22"/>
        </w:rPr>
        <w:t xml:space="preserve">1972); </w:t>
      </w:r>
      <w:r w:rsidRPr="00B80AA2">
        <w:rPr>
          <w:rFonts w:ascii="Calibri" w:hAnsi="Calibri"/>
          <w:i/>
          <w:iCs/>
          <w:sz w:val="22"/>
          <w:szCs w:val="22"/>
        </w:rPr>
        <w:t>Moring v. State Farm Mutual Automobile Insurance Co</w:t>
      </w:r>
      <w:r w:rsidRPr="007829BC">
        <w:rPr>
          <w:rFonts w:ascii="Calibri" w:hAnsi="Calibri"/>
          <w:sz w:val="22"/>
          <w:szCs w:val="22"/>
        </w:rPr>
        <w:t xml:space="preserve">., 426 So.2d 810 (Ala.1982); </w:t>
      </w:r>
      <w:r w:rsidRPr="00B80AA2">
        <w:rPr>
          <w:rFonts w:ascii="Calibri" w:hAnsi="Calibri"/>
          <w:i/>
          <w:iCs/>
          <w:sz w:val="22"/>
          <w:szCs w:val="22"/>
        </w:rPr>
        <w:t>Dupre v. Vidrine</w:t>
      </w:r>
      <w:r w:rsidRPr="007829BC">
        <w:rPr>
          <w:rFonts w:ascii="Calibri" w:hAnsi="Calibri"/>
          <w:sz w:val="22"/>
          <w:szCs w:val="22"/>
        </w:rPr>
        <w:t>, 261 So.2d 288 (La.</w:t>
      </w:r>
      <w:r>
        <w:rPr>
          <w:rFonts w:ascii="Calibri" w:hAnsi="Calibri"/>
          <w:sz w:val="22"/>
          <w:szCs w:val="22"/>
        </w:rPr>
        <w:t xml:space="preserve"> </w:t>
      </w:r>
      <w:r w:rsidRPr="007829BC">
        <w:rPr>
          <w:rFonts w:ascii="Calibri" w:hAnsi="Calibri"/>
          <w:sz w:val="22"/>
          <w:szCs w:val="22"/>
        </w:rPr>
        <w:t>App.1972)</w:t>
      </w:r>
      <w:r>
        <w:rPr>
          <w:rFonts w:ascii="Calibri" w:hAnsi="Calibri"/>
          <w:sz w:val="22"/>
          <w:szCs w:val="22"/>
        </w:rPr>
        <w:t xml:space="preserve">. </w:t>
      </w:r>
      <w:r w:rsidR="009F2B0A">
        <w:rPr>
          <w:rFonts w:ascii="Calibri" w:hAnsi="Calibri"/>
          <w:sz w:val="22"/>
          <w:szCs w:val="22"/>
        </w:rPr>
        <w:t xml:space="preserve">In </w:t>
      </w:r>
      <w:r w:rsidR="009F2B0A" w:rsidRPr="00B80AA2">
        <w:rPr>
          <w:rFonts w:ascii="Calibri" w:hAnsi="Calibri"/>
          <w:i/>
          <w:iCs/>
          <w:sz w:val="22"/>
          <w:szCs w:val="22"/>
        </w:rPr>
        <w:t>Control Specialists Co., Inc. v. State Farm Mutual Automobile Insurance Co</w:t>
      </w:r>
      <w:r w:rsidR="009F2B0A">
        <w:rPr>
          <w:rFonts w:ascii="Calibri" w:hAnsi="Calibri"/>
          <w:sz w:val="22"/>
          <w:szCs w:val="22"/>
        </w:rPr>
        <w:t xml:space="preserve">., the </w:t>
      </w:r>
      <w:r w:rsidR="009F2B0A" w:rsidRPr="00B80AA2">
        <w:rPr>
          <w:rFonts w:ascii="Calibri" w:hAnsi="Calibri"/>
          <w:b/>
          <w:bCs/>
          <w:sz w:val="22"/>
          <w:szCs w:val="22"/>
        </w:rPr>
        <w:t>Nebraska</w:t>
      </w:r>
      <w:r w:rsidR="009F2B0A">
        <w:rPr>
          <w:rFonts w:ascii="Calibri" w:hAnsi="Calibri"/>
          <w:sz w:val="22"/>
          <w:szCs w:val="22"/>
        </w:rPr>
        <w:t xml:space="preserve"> Supreme </w:t>
      </w:r>
      <w:r w:rsidR="009F2B0A" w:rsidRPr="009F2B0A">
        <w:rPr>
          <w:rFonts w:ascii="Calibri" w:hAnsi="Calibri"/>
          <w:sz w:val="22"/>
          <w:szCs w:val="22"/>
        </w:rPr>
        <w:t>Court held that</w:t>
      </w:r>
    </w:p>
    <w:p w14:paraId="0F97F65A" w14:textId="77777777" w:rsidR="009F2B0A" w:rsidRPr="00B80AA2" w:rsidRDefault="009F2B0A" w:rsidP="00B80AA2">
      <w:pPr>
        <w:spacing w:before="120" w:after="120"/>
        <w:ind w:left="288" w:right="288"/>
        <w:jc w:val="both"/>
        <w:rPr>
          <w:rFonts w:ascii="Calibri" w:hAnsi="Calibri"/>
          <w:i/>
          <w:iCs/>
          <w:sz w:val="22"/>
          <w:szCs w:val="22"/>
        </w:rPr>
      </w:pPr>
      <w:r w:rsidRPr="00B80AA2">
        <w:rPr>
          <w:rFonts w:ascii="Calibri" w:hAnsi="Calibri"/>
          <w:i/>
          <w:iCs/>
          <w:sz w:val="22"/>
          <w:szCs w:val="22"/>
        </w:rPr>
        <w:t>“where two motor vehicles covered by the same insurance carrier collide, the nonnegligent driver may recover for damage to his vehicle under the negligent driver's liability insurance and again under the property damage clause of his own insurance policy unless the nonnegligent driver's policy limits such recovery.”</w:t>
      </w:r>
    </w:p>
    <w:p w14:paraId="4E2139DD" w14:textId="750D6E9B" w:rsidR="009F2B0A" w:rsidRDefault="009F2B0A" w:rsidP="007829BC">
      <w:pPr>
        <w:spacing w:before="120" w:after="120"/>
        <w:jc w:val="both"/>
        <w:rPr>
          <w:rFonts w:ascii="Calibri" w:hAnsi="Calibri"/>
          <w:sz w:val="22"/>
          <w:szCs w:val="22"/>
        </w:rPr>
      </w:pPr>
      <w:r w:rsidRPr="009F2B0A">
        <w:rPr>
          <w:rFonts w:ascii="Calibri" w:hAnsi="Calibri"/>
          <w:sz w:val="22"/>
          <w:szCs w:val="22"/>
        </w:rPr>
        <w:t>While it is unclear what provisions the non</w:t>
      </w:r>
      <w:r w:rsidR="00440477">
        <w:rPr>
          <w:rFonts w:ascii="Calibri" w:hAnsi="Calibri"/>
          <w:sz w:val="22"/>
          <w:szCs w:val="22"/>
        </w:rPr>
        <w:t>-</w:t>
      </w:r>
      <w:r w:rsidRPr="009F2B0A">
        <w:rPr>
          <w:rFonts w:ascii="Calibri" w:hAnsi="Calibri"/>
          <w:sz w:val="22"/>
          <w:szCs w:val="22"/>
        </w:rPr>
        <w:t>negligent driver</w:t>
      </w:r>
      <w:r w:rsidR="00440477">
        <w:rPr>
          <w:rFonts w:ascii="Calibri" w:hAnsi="Calibri"/>
          <w:sz w:val="22"/>
          <w:szCs w:val="22"/>
        </w:rPr>
        <w:t>’</w:t>
      </w:r>
      <w:r w:rsidRPr="009F2B0A">
        <w:rPr>
          <w:rFonts w:ascii="Calibri" w:hAnsi="Calibri"/>
          <w:sz w:val="22"/>
          <w:szCs w:val="22"/>
        </w:rPr>
        <w:t>s policy contained, the court in </w:t>
      </w:r>
      <w:r w:rsidRPr="009F2B0A">
        <w:rPr>
          <w:rFonts w:ascii="Calibri" w:hAnsi="Calibri"/>
          <w:i/>
          <w:iCs/>
          <w:sz w:val="22"/>
          <w:szCs w:val="22"/>
        </w:rPr>
        <w:t>Control Specialists</w:t>
      </w:r>
      <w:r w:rsidRPr="009F2B0A">
        <w:rPr>
          <w:rFonts w:ascii="Calibri" w:hAnsi="Calibri"/>
          <w:sz w:val="22"/>
          <w:szCs w:val="22"/>
        </w:rPr>
        <w:t> based its ruling on the principles set forth in </w:t>
      </w:r>
      <w:r w:rsidRPr="00B80AA2">
        <w:rPr>
          <w:i/>
          <w:iCs/>
        </w:rPr>
        <w:t>Stetina v. State Farm Mutual Automobile Insurance Co.,</w:t>
      </w:r>
      <w:r w:rsidRPr="00B80AA2">
        <w:t>  243 N.W.2d 341 (</w:t>
      </w:r>
      <w:r>
        <w:rPr>
          <w:rFonts w:ascii="Calibri" w:hAnsi="Calibri"/>
          <w:sz w:val="22"/>
          <w:szCs w:val="22"/>
        </w:rPr>
        <w:t xml:space="preserve">Neb. </w:t>
      </w:r>
      <w:r w:rsidRPr="00B80AA2">
        <w:t>1976)</w:t>
      </w:r>
      <w:r>
        <w:rPr>
          <w:rFonts w:ascii="Calibri" w:hAnsi="Calibri"/>
          <w:sz w:val="22"/>
          <w:szCs w:val="22"/>
        </w:rPr>
        <w:t xml:space="preserve"> (</w:t>
      </w:r>
      <w:r w:rsidR="00440477" w:rsidRPr="00440477">
        <w:rPr>
          <w:rFonts w:ascii="Calibri" w:hAnsi="Calibri"/>
          <w:sz w:val="22"/>
          <w:szCs w:val="22"/>
        </w:rPr>
        <w:t>Where same insurance company provided automobile liability policies to both parties involved in automobile accident,</w:t>
      </w:r>
      <w:r w:rsidR="00440477">
        <w:rPr>
          <w:rFonts w:ascii="Calibri" w:hAnsi="Calibri"/>
          <w:sz w:val="22"/>
          <w:szCs w:val="22"/>
        </w:rPr>
        <w:t xml:space="preserve"> the ASR prohibits subrogating). </w:t>
      </w:r>
    </w:p>
    <w:p w14:paraId="11B3553A" w14:textId="29958EEC" w:rsidR="007829BC" w:rsidRDefault="009F2B0A" w:rsidP="007829BC">
      <w:pPr>
        <w:spacing w:before="120" w:after="120"/>
        <w:jc w:val="both"/>
        <w:rPr>
          <w:rFonts w:ascii="Calibri" w:hAnsi="Calibri"/>
          <w:sz w:val="22"/>
          <w:szCs w:val="22"/>
        </w:rPr>
      </w:pPr>
      <w:r>
        <w:rPr>
          <w:rFonts w:ascii="Calibri" w:hAnsi="Calibri"/>
          <w:sz w:val="22"/>
          <w:szCs w:val="22"/>
        </w:rPr>
        <w:t xml:space="preserve">Many other states follow Alabama with a stricter application of the ASR. In </w:t>
      </w:r>
      <w:r w:rsidRPr="00B80AA2">
        <w:rPr>
          <w:rFonts w:ascii="Calibri" w:hAnsi="Calibri"/>
          <w:b/>
          <w:bCs/>
          <w:sz w:val="22"/>
          <w:szCs w:val="22"/>
        </w:rPr>
        <w:t>Alaska</w:t>
      </w:r>
      <w:r>
        <w:rPr>
          <w:rFonts w:ascii="Calibri" w:hAnsi="Calibri"/>
          <w:sz w:val="22"/>
          <w:szCs w:val="22"/>
        </w:rPr>
        <w:t xml:space="preserve">, courts have </w:t>
      </w:r>
      <w:r w:rsidR="007829BC" w:rsidRPr="007829BC">
        <w:rPr>
          <w:rFonts w:ascii="Calibri" w:hAnsi="Calibri"/>
          <w:sz w:val="22"/>
          <w:szCs w:val="22"/>
        </w:rPr>
        <w:t xml:space="preserve">allowed </w:t>
      </w:r>
      <w:r>
        <w:rPr>
          <w:rFonts w:ascii="Calibri" w:hAnsi="Calibri"/>
          <w:sz w:val="22"/>
          <w:szCs w:val="22"/>
        </w:rPr>
        <w:t>a subrogated</w:t>
      </w:r>
      <w:r w:rsidR="007829BC" w:rsidRPr="007829BC">
        <w:rPr>
          <w:rFonts w:ascii="Calibri" w:hAnsi="Calibri"/>
          <w:sz w:val="22"/>
          <w:szCs w:val="22"/>
        </w:rPr>
        <w:t xml:space="preserve"> insurance carrier reimbursement of medical expenses </w:t>
      </w:r>
      <w:r>
        <w:rPr>
          <w:rFonts w:ascii="Calibri" w:hAnsi="Calibri"/>
          <w:sz w:val="22"/>
          <w:szCs w:val="22"/>
        </w:rPr>
        <w:t xml:space="preserve">its </w:t>
      </w:r>
      <w:r w:rsidR="007829BC" w:rsidRPr="007829BC">
        <w:rPr>
          <w:rFonts w:ascii="Calibri" w:hAnsi="Calibri"/>
          <w:sz w:val="22"/>
          <w:szCs w:val="22"/>
        </w:rPr>
        <w:t xml:space="preserve">insured received from </w:t>
      </w:r>
      <w:r>
        <w:rPr>
          <w:rFonts w:ascii="Calibri" w:hAnsi="Calibri"/>
          <w:sz w:val="22"/>
          <w:szCs w:val="22"/>
        </w:rPr>
        <w:t xml:space="preserve">a third-party tortfeasor who just happened to have liability coverage with the same insurance company, but under a different policy. </w:t>
      </w:r>
      <w:r w:rsidRPr="00B80AA2">
        <w:rPr>
          <w:rFonts w:ascii="Calibri" w:hAnsi="Calibri"/>
          <w:i/>
          <w:iCs/>
          <w:sz w:val="22"/>
          <w:szCs w:val="22"/>
        </w:rPr>
        <w:t>Maynard v. State Farm Mutual Automobile</w:t>
      </w:r>
      <w:r>
        <w:rPr>
          <w:rFonts w:ascii="Calibri" w:hAnsi="Calibri"/>
          <w:sz w:val="22"/>
          <w:szCs w:val="22"/>
        </w:rPr>
        <w:t xml:space="preserve">, </w:t>
      </w:r>
      <w:r w:rsidRPr="009F2B0A">
        <w:rPr>
          <w:rFonts w:ascii="Calibri" w:hAnsi="Calibri"/>
          <w:sz w:val="22"/>
          <w:szCs w:val="22"/>
        </w:rPr>
        <w:t>902 P.2d 1328 (Alaska 1995)</w:t>
      </w:r>
      <w:r>
        <w:rPr>
          <w:rFonts w:ascii="Calibri" w:hAnsi="Calibri"/>
          <w:sz w:val="22"/>
          <w:szCs w:val="22"/>
        </w:rPr>
        <w:t xml:space="preserve">. In </w:t>
      </w:r>
      <w:r w:rsidRPr="00B80AA2">
        <w:rPr>
          <w:rFonts w:ascii="Calibri" w:hAnsi="Calibri"/>
          <w:b/>
          <w:bCs/>
          <w:sz w:val="22"/>
          <w:szCs w:val="22"/>
        </w:rPr>
        <w:t>Louisiana</w:t>
      </w:r>
      <w:r>
        <w:rPr>
          <w:rFonts w:ascii="Calibri" w:hAnsi="Calibri"/>
          <w:sz w:val="22"/>
          <w:szCs w:val="22"/>
        </w:rPr>
        <w:t>, the court in</w:t>
      </w:r>
      <w:r w:rsidR="007829BC" w:rsidRPr="007829BC">
        <w:rPr>
          <w:rFonts w:ascii="Calibri" w:hAnsi="Calibri"/>
          <w:sz w:val="22"/>
          <w:szCs w:val="22"/>
        </w:rPr>
        <w:t xml:space="preserve"> </w:t>
      </w:r>
      <w:r w:rsidR="007829BC" w:rsidRPr="00B80AA2">
        <w:rPr>
          <w:rFonts w:ascii="Calibri" w:hAnsi="Calibri"/>
          <w:i/>
          <w:iCs/>
          <w:sz w:val="22"/>
          <w:szCs w:val="22"/>
        </w:rPr>
        <w:t>Norris v. Allstate Insurance Co</w:t>
      </w:r>
      <w:r w:rsidR="007829BC" w:rsidRPr="007829BC">
        <w:rPr>
          <w:rFonts w:ascii="Calibri" w:hAnsi="Calibri"/>
          <w:sz w:val="22"/>
          <w:szCs w:val="22"/>
        </w:rPr>
        <w:t xml:space="preserve">., 293 So.2d 918 (La.App.1974) allowed </w:t>
      </w:r>
      <w:r>
        <w:rPr>
          <w:rFonts w:ascii="Calibri" w:hAnsi="Calibri"/>
          <w:sz w:val="22"/>
          <w:szCs w:val="22"/>
        </w:rPr>
        <w:t xml:space="preserve">the </w:t>
      </w:r>
      <w:r w:rsidR="007829BC" w:rsidRPr="007829BC">
        <w:rPr>
          <w:rFonts w:ascii="Calibri" w:hAnsi="Calibri"/>
          <w:sz w:val="22"/>
          <w:szCs w:val="22"/>
        </w:rPr>
        <w:t xml:space="preserve">insurance carrier to subrogate against tortfeasor, </w:t>
      </w:r>
      <w:r>
        <w:rPr>
          <w:rFonts w:ascii="Calibri" w:hAnsi="Calibri"/>
          <w:sz w:val="22"/>
          <w:szCs w:val="22"/>
        </w:rPr>
        <w:t xml:space="preserve">insured under a separate policy. </w:t>
      </w:r>
    </w:p>
    <w:p w14:paraId="29DFA6DE" w14:textId="6D4A8B91" w:rsidR="000A1B36" w:rsidRPr="00A6631E" w:rsidRDefault="000A1B36" w:rsidP="000A1B36">
      <w:pPr>
        <w:spacing w:before="240" w:after="120"/>
        <w:jc w:val="center"/>
        <w:rPr>
          <w:rFonts w:ascii="Calibri" w:hAnsi="Calibri"/>
          <w:b/>
          <w:i/>
          <w:color w:val="1F3864" w:themeColor="accent1" w:themeShade="80"/>
          <w:sz w:val="24"/>
          <w:szCs w:val="24"/>
        </w:rPr>
      </w:pPr>
      <w:r w:rsidRPr="00A6631E">
        <w:rPr>
          <w:rFonts w:ascii="Calibri" w:hAnsi="Calibri"/>
          <w:b/>
          <w:i/>
          <w:color w:val="1F3864" w:themeColor="accent1" w:themeShade="80"/>
          <w:sz w:val="24"/>
          <w:szCs w:val="24"/>
        </w:rPr>
        <w:t>Anti-Subrogation Rule</w:t>
      </w:r>
      <w:r>
        <w:rPr>
          <w:rFonts w:ascii="Calibri" w:hAnsi="Calibri"/>
          <w:b/>
          <w:i/>
          <w:color w:val="1F3864" w:themeColor="accent1" w:themeShade="80"/>
          <w:sz w:val="24"/>
          <w:szCs w:val="24"/>
        </w:rPr>
        <w:t xml:space="preserve"> as Bar to Common Law Indemnity</w:t>
      </w:r>
    </w:p>
    <w:p w14:paraId="6806EE30" w14:textId="65BE1762" w:rsidR="000A1B36" w:rsidRPr="000A1B36" w:rsidRDefault="000A1B36" w:rsidP="000A1B36">
      <w:pPr>
        <w:spacing w:before="120" w:after="120"/>
        <w:jc w:val="both"/>
        <w:rPr>
          <w:rFonts w:ascii="Calibri" w:hAnsi="Calibri"/>
          <w:sz w:val="22"/>
          <w:szCs w:val="22"/>
        </w:rPr>
      </w:pPr>
      <w:r>
        <w:rPr>
          <w:rFonts w:ascii="Calibri" w:hAnsi="Calibri"/>
          <w:sz w:val="22"/>
          <w:szCs w:val="22"/>
        </w:rPr>
        <w:t xml:space="preserve">In some instances, the ASR has been applied to prevent common law indemnity. </w:t>
      </w:r>
      <w:r w:rsidRPr="000A1B36">
        <w:rPr>
          <w:rFonts w:ascii="Calibri" w:hAnsi="Calibri"/>
          <w:sz w:val="22"/>
          <w:szCs w:val="22"/>
        </w:rPr>
        <w:t xml:space="preserve">Common law indemnification is </w:t>
      </w:r>
      <w:r>
        <w:rPr>
          <w:rFonts w:ascii="Calibri" w:hAnsi="Calibri"/>
          <w:sz w:val="22"/>
          <w:szCs w:val="22"/>
        </w:rPr>
        <w:t xml:space="preserve">applicable </w:t>
      </w:r>
      <w:r w:rsidRPr="000A1B36">
        <w:rPr>
          <w:rFonts w:ascii="Calibri" w:hAnsi="Calibri"/>
          <w:sz w:val="22"/>
          <w:szCs w:val="22"/>
        </w:rPr>
        <w:t>in favor of one who is held responsible solely by operation of law because of his relationship to the wrongdoer.</w:t>
      </w:r>
      <w:r w:rsidR="006B6407">
        <w:rPr>
          <w:rFonts w:ascii="Calibri" w:hAnsi="Calibri"/>
          <w:sz w:val="22"/>
          <w:szCs w:val="22"/>
        </w:rPr>
        <w:t xml:space="preserve"> </w:t>
      </w:r>
      <w:r w:rsidRPr="000A1B36">
        <w:rPr>
          <w:rFonts w:ascii="Calibri" w:hAnsi="Calibri"/>
          <w:i/>
          <w:iCs/>
          <w:sz w:val="22"/>
          <w:szCs w:val="22"/>
        </w:rPr>
        <w:t>McCarthy v. Turner Constr., Inc.</w:t>
      </w:r>
      <w:r w:rsidRPr="000A1B36">
        <w:rPr>
          <w:rFonts w:ascii="Calibri" w:hAnsi="Calibri"/>
          <w:sz w:val="22"/>
          <w:szCs w:val="22"/>
        </w:rPr>
        <w:t>, 17 N.Y.3d 369, 375 (2011), quoting</w:t>
      </w:r>
      <w:r w:rsidR="006B6407">
        <w:rPr>
          <w:rFonts w:ascii="Calibri" w:hAnsi="Calibri"/>
          <w:sz w:val="22"/>
          <w:szCs w:val="22"/>
        </w:rPr>
        <w:t xml:space="preserve"> </w:t>
      </w:r>
      <w:r w:rsidRPr="000A1B36">
        <w:rPr>
          <w:rFonts w:ascii="Calibri" w:hAnsi="Calibri"/>
          <w:i/>
          <w:iCs/>
          <w:sz w:val="22"/>
          <w:szCs w:val="22"/>
        </w:rPr>
        <w:t>Mas v. Two Bridges Assocs.</w:t>
      </w:r>
      <w:r w:rsidRPr="000A1B36">
        <w:rPr>
          <w:rFonts w:ascii="Calibri" w:hAnsi="Calibri"/>
          <w:sz w:val="22"/>
          <w:szCs w:val="22"/>
        </w:rPr>
        <w:t>, 75 N.Y.2d 680, 690 (1990).</w:t>
      </w:r>
      <w:r>
        <w:rPr>
          <w:rFonts w:ascii="Calibri" w:hAnsi="Calibri"/>
          <w:sz w:val="22"/>
          <w:szCs w:val="22"/>
        </w:rPr>
        <w:t xml:space="preserve"> Indemnity in general</w:t>
      </w:r>
      <w:r w:rsidRPr="000A1B36">
        <w:rPr>
          <w:rFonts w:ascii="Calibri" w:hAnsi="Calibri"/>
          <w:sz w:val="22"/>
          <w:szCs w:val="22"/>
        </w:rPr>
        <w:t xml:space="preserve"> shift</w:t>
      </w:r>
      <w:r>
        <w:rPr>
          <w:rFonts w:ascii="Calibri" w:hAnsi="Calibri"/>
          <w:sz w:val="22"/>
          <w:szCs w:val="22"/>
        </w:rPr>
        <w:t>s</w:t>
      </w:r>
      <w:r w:rsidRPr="000A1B36">
        <w:rPr>
          <w:rFonts w:ascii="Calibri" w:hAnsi="Calibri"/>
          <w:sz w:val="22"/>
          <w:szCs w:val="22"/>
        </w:rPr>
        <w:t xml:space="preserve"> a loss </w:t>
      </w:r>
      <w:r>
        <w:rPr>
          <w:rFonts w:ascii="Calibri" w:hAnsi="Calibri"/>
          <w:sz w:val="22"/>
          <w:szCs w:val="22"/>
        </w:rPr>
        <w:t>from one party to another</w:t>
      </w:r>
      <w:r w:rsidRPr="000A1B36">
        <w:rPr>
          <w:rFonts w:ascii="Calibri" w:hAnsi="Calibri"/>
          <w:sz w:val="22"/>
          <w:szCs w:val="22"/>
        </w:rPr>
        <w:t xml:space="preserve"> and </w:t>
      </w:r>
      <w:r>
        <w:rPr>
          <w:rFonts w:ascii="Calibri" w:hAnsi="Calibri"/>
          <w:sz w:val="22"/>
          <w:szCs w:val="22"/>
        </w:rPr>
        <w:t>can be founded on</w:t>
      </w:r>
      <w:r w:rsidRPr="000A1B36">
        <w:rPr>
          <w:rFonts w:ascii="Calibri" w:hAnsi="Calibri"/>
          <w:sz w:val="22"/>
          <w:szCs w:val="22"/>
        </w:rPr>
        <w:t xml:space="preserve"> express contract</w:t>
      </w:r>
      <w:r>
        <w:rPr>
          <w:rFonts w:ascii="Calibri" w:hAnsi="Calibri"/>
          <w:sz w:val="22"/>
          <w:szCs w:val="22"/>
        </w:rPr>
        <w:t xml:space="preserve"> language</w:t>
      </w:r>
      <w:r w:rsidRPr="000A1B36">
        <w:rPr>
          <w:rFonts w:ascii="Calibri" w:hAnsi="Calibri"/>
          <w:sz w:val="22"/>
          <w:szCs w:val="22"/>
        </w:rPr>
        <w:t xml:space="preserve"> or an implied</w:t>
      </w:r>
      <w:r>
        <w:rPr>
          <w:rFonts w:ascii="Calibri" w:hAnsi="Calibri"/>
          <w:sz w:val="22"/>
          <w:szCs w:val="22"/>
        </w:rPr>
        <w:t>-at-law</w:t>
      </w:r>
      <w:r w:rsidRPr="000A1B36">
        <w:rPr>
          <w:rFonts w:ascii="Calibri" w:hAnsi="Calibri"/>
          <w:sz w:val="22"/>
          <w:szCs w:val="22"/>
        </w:rPr>
        <w:t xml:space="preserve"> obligation.</w:t>
      </w:r>
      <w:r w:rsidR="006B6407">
        <w:rPr>
          <w:rFonts w:ascii="Calibri" w:hAnsi="Calibri"/>
          <w:sz w:val="22"/>
          <w:szCs w:val="22"/>
        </w:rPr>
        <w:t xml:space="preserve"> </w:t>
      </w:r>
      <w:r w:rsidRPr="000A1B36">
        <w:rPr>
          <w:rFonts w:ascii="Calibri" w:hAnsi="Calibri"/>
          <w:i/>
          <w:iCs/>
          <w:sz w:val="22"/>
          <w:szCs w:val="22"/>
        </w:rPr>
        <w:t>Bellevue S. Assoc. v. HRH Constr. Corp.</w:t>
      </w:r>
      <w:r w:rsidRPr="000A1B36">
        <w:rPr>
          <w:rFonts w:ascii="Calibri" w:hAnsi="Calibri"/>
          <w:sz w:val="22"/>
          <w:szCs w:val="22"/>
        </w:rPr>
        <w:t xml:space="preserve">, 78 N.Y.2d 282 (1991). Based on a separate duty owed the indemnitee by the indemnitor, common law indemnification, or implied indemnification, permits one who </w:t>
      </w:r>
      <w:r>
        <w:rPr>
          <w:rFonts w:ascii="Calibri" w:hAnsi="Calibri"/>
          <w:sz w:val="22"/>
          <w:szCs w:val="22"/>
        </w:rPr>
        <w:t>paid damages for the negligence</w:t>
      </w:r>
      <w:r w:rsidRPr="000A1B36">
        <w:rPr>
          <w:rFonts w:ascii="Calibri" w:hAnsi="Calibri"/>
          <w:sz w:val="22"/>
          <w:szCs w:val="22"/>
        </w:rPr>
        <w:t xml:space="preserve"> of another to recover from the wrongdoer the damages paid to the injured party.</w:t>
      </w:r>
      <w:r w:rsidR="006B6407">
        <w:rPr>
          <w:rFonts w:ascii="Calibri" w:hAnsi="Calibri"/>
          <w:sz w:val="22"/>
          <w:szCs w:val="22"/>
        </w:rPr>
        <w:t xml:space="preserve"> </w:t>
      </w:r>
      <w:r>
        <w:rPr>
          <w:rFonts w:ascii="Calibri" w:hAnsi="Calibri"/>
          <w:sz w:val="22"/>
          <w:szCs w:val="22"/>
        </w:rPr>
        <w:t>The underlying basis for common law indemnity is vicarious liability. An example would be</w:t>
      </w:r>
      <w:r w:rsidR="00587897">
        <w:rPr>
          <w:rFonts w:ascii="Calibri" w:hAnsi="Calibri"/>
          <w:sz w:val="22"/>
          <w:szCs w:val="22"/>
        </w:rPr>
        <w:t xml:space="preserve"> an employer/employee relationship. The employer is vicariously liable for the employee</w:t>
      </w:r>
      <w:r w:rsidR="006B6407">
        <w:rPr>
          <w:rFonts w:ascii="Calibri" w:hAnsi="Calibri"/>
          <w:sz w:val="22"/>
          <w:szCs w:val="22"/>
        </w:rPr>
        <w:t>’</w:t>
      </w:r>
      <w:r w:rsidR="00587897">
        <w:rPr>
          <w:rFonts w:ascii="Calibri" w:hAnsi="Calibri"/>
          <w:sz w:val="22"/>
          <w:szCs w:val="22"/>
        </w:rPr>
        <w:t xml:space="preserve">s actions while in course and scope of employment. Another example is the liability of a general contractor for the negligence of a subcontractor. In </w:t>
      </w:r>
      <w:r w:rsidR="00587897" w:rsidRPr="006B6407">
        <w:rPr>
          <w:rFonts w:ascii="Calibri" w:hAnsi="Calibri"/>
          <w:i/>
          <w:iCs/>
          <w:sz w:val="22"/>
          <w:szCs w:val="22"/>
        </w:rPr>
        <w:t>237 West 123</w:t>
      </w:r>
      <w:r w:rsidR="00587897" w:rsidRPr="006B6407">
        <w:rPr>
          <w:rFonts w:ascii="Calibri" w:hAnsi="Calibri"/>
          <w:i/>
          <w:iCs/>
          <w:sz w:val="22"/>
          <w:szCs w:val="22"/>
          <w:vertAlign w:val="superscript"/>
        </w:rPr>
        <w:t>rd</w:t>
      </w:r>
      <w:r w:rsidR="00587897" w:rsidRPr="006B6407">
        <w:rPr>
          <w:rFonts w:ascii="Calibri" w:hAnsi="Calibri"/>
          <w:i/>
          <w:iCs/>
          <w:sz w:val="22"/>
          <w:szCs w:val="22"/>
        </w:rPr>
        <w:t xml:space="preserve"> Street, LLC v. A. Aleem </w:t>
      </w:r>
      <w:r w:rsidR="00587897">
        <w:rPr>
          <w:rFonts w:ascii="Calibri" w:hAnsi="Calibri"/>
          <w:i/>
          <w:iCs/>
          <w:sz w:val="22"/>
          <w:szCs w:val="22"/>
        </w:rPr>
        <w:t>C</w:t>
      </w:r>
      <w:r w:rsidR="00587897" w:rsidRPr="006B6407">
        <w:rPr>
          <w:rFonts w:ascii="Calibri" w:hAnsi="Calibri"/>
          <w:i/>
          <w:iCs/>
          <w:sz w:val="22"/>
          <w:szCs w:val="22"/>
        </w:rPr>
        <w:t>onstr</w:t>
      </w:r>
      <w:r w:rsidR="006B6407">
        <w:rPr>
          <w:rFonts w:ascii="Calibri" w:hAnsi="Calibri"/>
          <w:i/>
          <w:iCs/>
          <w:sz w:val="22"/>
          <w:szCs w:val="22"/>
        </w:rPr>
        <w:t>.</w:t>
      </w:r>
      <w:r w:rsidR="00587897" w:rsidRPr="006B6407">
        <w:rPr>
          <w:rFonts w:ascii="Calibri" w:hAnsi="Calibri"/>
          <w:i/>
          <w:iCs/>
          <w:sz w:val="22"/>
          <w:szCs w:val="22"/>
        </w:rPr>
        <w:t>, Inc</w:t>
      </w:r>
      <w:r w:rsidR="00587897">
        <w:rPr>
          <w:rFonts w:ascii="Calibri" w:hAnsi="Calibri"/>
          <w:sz w:val="22"/>
          <w:szCs w:val="22"/>
        </w:rPr>
        <w:t>., 2021 WL 3085944 (N.Y. Sup. 2021), the court held that t</w:t>
      </w:r>
      <w:r w:rsidR="00587897" w:rsidRPr="00587897">
        <w:rPr>
          <w:rFonts w:ascii="Calibri" w:hAnsi="Calibri"/>
          <w:sz w:val="22"/>
          <w:szCs w:val="22"/>
        </w:rPr>
        <w:t xml:space="preserve">he </w:t>
      </w:r>
      <w:r w:rsidR="00587897">
        <w:rPr>
          <w:rFonts w:ascii="Calibri" w:hAnsi="Calibri"/>
          <w:sz w:val="22"/>
          <w:szCs w:val="22"/>
        </w:rPr>
        <w:t>ASR</w:t>
      </w:r>
      <w:r w:rsidR="00587897" w:rsidRPr="00587897">
        <w:rPr>
          <w:rFonts w:ascii="Calibri" w:hAnsi="Calibri"/>
          <w:sz w:val="22"/>
          <w:szCs w:val="22"/>
        </w:rPr>
        <w:t xml:space="preserve"> also bars an insured</w:t>
      </w:r>
      <w:r w:rsidR="006B6407">
        <w:rPr>
          <w:rFonts w:ascii="Calibri" w:hAnsi="Calibri"/>
          <w:sz w:val="22"/>
          <w:szCs w:val="22"/>
        </w:rPr>
        <w:t>’</w:t>
      </w:r>
      <w:r w:rsidR="00587897" w:rsidRPr="00587897">
        <w:rPr>
          <w:rFonts w:ascii="Calibri" w:hAnsi="Calibri"/>
          <w:sz w:val="22"/>
          <w:szCs w:val="22"/>
        </w:rPr>
        <w:t>s common-law indemnification claim where the claim would effectively subrogate the insurer against another of its insureds.</w:t>
      </w:r>
      <w:r w:rsidR="00587897">
        <w:rPr>
          <w:rFonts w:ascii="Calibri" w:hAnsi="Calibri"/>
          <w:sz w:val="22"/>
          <w:szCs w:val="22"/>
        </w:rPr>
        <w:t xml:space="preserve"> In </w:t>
      </w:r>
      <w:r w:rsidR="00587897" w:rsidRPr="006B6407">
        <w:rPr>
          <w:rFonts w:ascii="Calibri" w:hAnsi="Calibri"/>
          <w:i/>
          <w:iCs/>
          <w:sz w:val="22"/>
          <w:szCs w:val="22"/>
        </w:rPr>
        <w:t>123</w:t>
      </w:r>
      <w:r w:rsidR="00587897" w:rsidRPr="006B6407">
        <w:rPr>
          <w:rFonts w:ascii="Calibri" w:hAnsi="Calibri"/>
          <w:i/>
          <w:iCs/>
          <w:sz w:val="22"/>
          <w:szCs w:val="22"/>
          <w:vertAlign w:val="superscript"/>
        </w:rPr>
        <w:t>rd</w:t>
      </w:r>
      <w:r w:rsidR="00587897" w:rsidRPr="006B6407">
        <w:rPr>
          <w:rFonts w:ascii="Calibri" w:hAnsi="Calibri"/>
          <w:i/>
          <w:iCs/>
          <w:sz w:val="22"/>
          <w:szCs w:val="22"/>
        </w:rPr>
        <w:t xml:space="preserve"> Street, LLC</w:t>
      </w:r>
      <w:r w:rsidR="00587897">
        <w:rPr>
          <w:rFonts w:ascii="Calibri" w:hAnsi="Calibri"/>
          <w:sz w:val="22"/>
          <w:szCs w:val="22"/>
        </w:rPr>
        <w:t xml:space="preserve">, </w:t>
      </w:r>
      <w:r w:rsidRPr="000A1B36">
        <w:rPr>
          <w:rFonts w:ascii="Calibri" w:hAnsi="Calibri"/>
          <w:sz w:val="22"/>
          <w:szCs w:val="22"/>
        </w:rPr>
        <w:t xml:space="preserve">CJL Construction </w:t>
      </w:r>
      <w:r w:rsidR="00587897">
        <w:rPr>
          <w:rFonts w:ascii="Calibri" w:hAnsi="Calibri"/>
          <w:sz w:val="22"/>
          <w:szCs w:val="22"/>
        </w:rPr>
        <w:t>argued that</w:t>
      </w:r>
      <w:r w:rsidRPr="000A1B36">
        <w:rPr>
          <w:rFonts w:ascii="Calibri" w:hAnsi="Calibri"/>
          <w:sz w:val="22"/>
          <w:szCs w:val="22"/>
        </w:rPr>
        <w:t xml:space="preserve"> adding Aleem Construction as a third-party plaintiff </w:t>
      </w:r>
      <w:r w:rsidR="00587897">
        <w:rPr>
          <w:rFonts w:ascii="Calibri" w:hAnsi="Calibri"/>
          <w:sz w:val="22"/>
          <w:szCs w:val="22"/>
        </w:rPr>
        <w:t>violated the ASR</w:t>
      </w:r>
      <w:r w:rsidRPr="000A1B36">
        <w:rPr>
          <w:rFonts w:ascii="Calibri" w:hAnsi="Calibri"/>
          <w:sz w:val="22"/>
          <w:szCs w:val="22"/>
        </w:rPr>
        <w:t xml:space="preserve"> because the same insurer—Travelers—defends and insures both Aleem Construction and CJL Construction. Under the </w:t>
      </w:r>
      <w:r w:rsidR="006B6407">
        <w:rPr>
          <w:rFonts w:ascii="Calibri" w:hAnsi="Calibri"/>
          <w:sz w:val="22"/>
          <w:szCs w:val="22"/>
        </w:rPr>
        <w:t>ASR</w:t>
      </w:r>
      <w:r w:rsidRPr="000A1B36">
        <w:rPr>
          <w:rFonts w:ascii="Calibri" w:hAnsi="Calibri"/>
          <w:sz w:val="22"/>
          <w:szCs w:val="22"/>
        </w:rPr>
        <w:t>, an insure</w:t>
      </w:r>
      <w:r w:rsidR="00587897">
        <w:rPr>
          <w:rFonts w:ascii="Calibri" w:hAnsi="Calibri"/>
          <w:sz w:val="22"/>
          <w:szCs w:val="22"/>
        </w:rPr>
        <w:t>d</w:t>
      </w:r>
      <w:r w:rsidRPr="000A1B36">
        <w:rPr>
          <w:rFonts w:ascii="Calibri" w:hAnsi="Calibri"/>
          <w:sz w:val="22"/>
          <w:szCs w:val="22"/>
        </w:rPr>
        <w:t xml:space="preserve"> </w:t>
      </w:r>
      <w:r w:rsidR="006B6407">
        <w:rPr>
          <w:rFonts w:ascii="Calibri" w:hAnsi="Calibri"/>
          <w:sz w:val="22"/>
          <w:szCs w:val="22"/>
        </w:rPr>
        <w:t>“</w:t>
      </w:r>
      <w:r w:rsidRPr="000A1B36">
        <w:rPr>
          <w:rFonts w:ascii="Calibri" w:hAnsi="Calibri"/>
          <w:sz w:val="22"/>
          <w:szCs w:val="22"/>
        </w:rPr>
        <w:t>has no right of subrogation against its own insured for a claim arising from the very risk for which the insured was covered.</w:t>
      </w:r>
      <w:r w:rsidR="006B6407">
        <w:rPr>
          <w:rFonts w:ascii="Calibri" w:hAnsi="Calibri"/>
          <w:sz w:val="22"/>
          <w:szCs w:val="22"/>
        </w:rPr>
        <w:t>”</w:t>
      </w:r>
      <w:r w:rsidRPr="000A1B36">
        <w:rPr>
          <w:rFonts w:ascii="Calibri" w:hAnsi="Calibri"/>
          <w:sz w:val="22"/>
          <w:szCs w:val="22"/>
        </w:rPr>
        <w:t xml:space="preserve"> Because Travelers defend</w:t>
      </w:r>
      <w:r w:rsidR="00587897">
        <w:rPr>
          <w:rFonts w:ascii="Calibri" w:hAnsi="Calibri"/>
          <w:sz w:val="22"/>
          <w:szCs w:val="22"/>
        </w:rPr>
        <w:t>ed</w:t>
      </w:r>
      <w:r w:rsidRPr="000A1B36">
        <w:rPr>
          <w:rFonts w:ascii="Calibri" w:hAnsi="Calibri"/>
          <w:sz w:val="22"/>
          <w:szCs w:val="22"/>
        </w:rPr>
        <w:t xml:space="preserve"> and insures both CJL Construction and Aleem Construction under CJL</w:t>
      </w:r>
      <w:r w:rsidR="006B6407">
        <w:rPr>
          <w:rFonts w:ascii="Calibri" w:hAnsi="Calibri"/>
          <w:sz w:val="22"/>
          <w:szCs w:val="22"/>
        </w:rPr>
        <w:t>’</w:t>
      </w:r>
      <w:r w:rsidRPr="000A1B36">
        <w:rPr>
          <w:rFonts w:ascii="Calibri" w:hAnsi="Calibri"/>
          <w:sz w:val="22"/>
          <w:szCs w:val="22"/>
        </w:rPr>
        <w:t>s Travelers insurance policy, the court agree</w:t>
      </w:r>
      <w:r w:rsidR="00587897">
        <w:rPr>
          <w:rFonts w:ascii="Calibri" w:hAnsi="Calibri"/>
          <w:sz w:val="22"/>
          <w:szCs w:val="22"/>
        </w:rPr>
        <w:t>d</w:t>
      </w:r>
      <w:r w:rsidRPr="000A1B36">
        <w:rPr>
          <w:rFonts w:ascii="Calibri" w:hAnsi="Calibri"/>
          <w:sz w:val="22"/>
          <w:szCs w:val="22"/>
        </w:rPr>
        <w:t xml:space="preserve"> that the </w:t>
      </w:r>
      <w:r w:rsidR="00587897">
        <w:rPr>
          <w:rFonts w:ascii="Calibri" w:hAnsi="Calibri"/>
          <w:sz w:val="22"/>
          <w:szCs w:val="22"/>
        </w:rPr>
        <w:t>ASR</w:t>
      </w:r>
      <w:r w:rsidRPr="000A1B36">
        <w:rPr>
          <w:rFonts w:ascii="Calibri" w:hAnsi="Calibri"/>
          <w:sz w:val="22"/>
          <w:szCs w:val="22"/>
        </w:rPr>
        <w:t xml:space="preserve"> applie</w:t>
      </w:r>
      <w:r w:rsidR="00587897">
        <w:rPr>
          <w:rFonts w:ascii="Calibri" w:hAnsi="Calibri"/>
          <w:sz w:val="22"/>
          <w:szCs w:val="22"/>
        </w:rPr>
        <w:t>d</w:t>
      </w:r>
      <w:r w:rsidRPr="000A1B36">
        <w:rPr>
          <w:rFonts w:ascii="Calibri" w:hAnsi="Calibri"/>
          <w:sz w:val="22"/>
          <w:szCs w:val="22"/>
        </w:rPr>
        <w:t xml:space="preserve">. </w:t>
      </w:r>
      <w:r w:rsidR="00587897">
        <w:rPr>
          <w:rFonts w:ascii="Calibri" w:hAnsi="Calibri"/>
          <w:sz w:val="22"/>
          <w:szCs w:val="22"/>
        </w:rPr>
        <w:t>The court added that the ASR did</w:t>
      </w:r>
      <w:r w:rsidRPr="000A1B36">
        <w:rPr>
          <w:rFonts w:ascii="Calibri" w:hAnsi="Calibri"/>
          <w:sz w:val="22"/>
          <w:szCs w:val="22"/>
        </w:rPr>
        <w:t xml:space="preserve"> not apply to any damages awarded against Aleem Construction that exceed</w:t>
      </w:r>
      <w:r w:rsidR="00587897">
        <w:rPr>
          <w:rFonts w:ascii="Calibri" w:hAnsi="Calibri"/>
          <w:sz w:val="22"/>
          <w:szCs w:val="22"/>
        </w:rPr>
        <w:t>ed</w:t>
      </w:r>
      <w:r w:rsidRPr="000A1B36">
        <w:rPr>
          <w:rFonts w:ascii="Calibri" w:hAnsi="Calibri"/>
          <w:sz w:val="22"/>
          <w:szCs w:val="22"/>
        </w:rPr>
        <w:t xml:space="preserve"> the coverage of the Travelers policy.</w:t>
      </w:r>
    </w:p>
    <w:p w14:paraId="049E168B" w14:textId="77777777" w:rsidR="00F16D5F" w:rsidRPr="00A6631E" w:rsidRDefault="00027F07" w:rsidP="00696E3D">
      <w:pPr>
        <w:spacing w:before="240" w:after="120"/>
        <w:jc w:val="center"/>
        <w:rPr>
          <w:rFonts w:ascii="Calibri" w:hAnsi="Calibri"/>
          <w:b/>
          <w:i/>
          <w:color w:val="1F3864" w:themeColor="accent1" w:themeShade="80"/>
          <w:sz w:val="24"/>
          <w:szCs w:val="24"/>
        </w:rPr>
      </w:pPr>
      <w:r w:rsidRPr="00A6631E">
        <w:rPr>
          <w:rFonts w:ascii="Calibri" w:hAnsi="Calibri"/>
          <w:b/>
          <w:i/>
          <w:color w:val="1F3864" w:themeColor="accent1" w:themeShade="80"/>
          <w:sz w:val="24"/>
          <w:szCs w:val="24"/>
        </w:rPr>
        <w:t xml:space="preserve">Exceptions </w:t>
      </w:r>
      <w:r w:rsidR="003C2F77" w:rsidRPr="00A6631E">
        <w:rPr>
          <w:rFonts w:ascii="Calibri" w:hAnsi="Calibri"/>
          <w:b/>
          <w:i/>
          <w:color w:val="1F3864" w:themeColor="accent1" w:themeShade="80"/>
          <w:sz w:val="24"/>
          <w:szCs w:val="24"/>
        </w:rPr>
        <w:t>to</w:t>
      </w:r>
      <w:r w:rsidRPr="00A6631E">
        <w:rPr>
          <w:rFonts w:ascii="Calibri" w:hAnsi="Calibri"/>
          <w:b/>
          <w:i/>
          <w:color w:val="1F3864" w:themeColor="accent1" w:themeShade="80"/>
          <w:sz w:val="24"/>
          <w:szCs w:val="24"/>
        </w:rPr>
        <w:t xml:space="preserve"> </w:t>
      </w:r>
      <w:r w:rsidR="003C2F77">
        <w:rPr>
          <w:rFonts w:ascii="Calibri" w:hAnsi="Calibri"/>
          <w:b/>
          <w:i/>
          <w:color w:val="1F3864" w:themeColor="accent1" w:themeShade="80"/>
          <w:sz w:val="24"/>
          <w:szCs w:val="24"/>
        </w:rPr>
        <w:t>t</w:t>
      </w:r>
      <w:r w:rsidR="00935406" w:rsidRPr="00A6631E">
        <w:rPr>
          <w:rFonts w:ascii="Calibri" w:hAnsi="Calibri"/>
          <w:b/>
          <w:i/>
          <w:color w:val="1F3864" w:themeColor="accent1" w:themeShade="80"/>
          <w:sz w:val="24"/>
          <w:szCs w:val="24"/>
        </w:rPr>
        <w:t xml:space="preserve">he </w:t>
      </w:r>
      <w:r w:rsidRPr="00A6631E">
        <w:rPr>
          <w:rFonts w:ascii="Calibri" w:hAnsi="Calibri"/>
          <w:b/>
          <w:i/>
          <w:color w:val="1F3864" w:themeColor="accent1" w:themeShade="80"/>
          <w:sz w:val="24"/>
          <w:szCs w:val="24"/>
        </w:rPr>
        <w:t>Anti-Subrogation Rule</w:t>
      </w:r>
    </w:p>
    <w:p w14:paraId="2E660E8C" w14:textId="4893F1C7" w:rsidR="007F249A" w:rsidRPr="00696E3D" w:rsidRDefault="0037593C" w:rsidP="006B6407">
      <w:pPr>
        <w:spacing w:before="120" w:after="120"/>
        <w:jc w:val="both"/>
        <w:rPr>
          <w:rFonts w:ascii="Calibri" w:hAnsi="Calibri"/>
          <w:sz w:val="22"/>
          <w:szCs w:val="22"/>
        </w:rPr>
      </w:pPr>
      <w:r w:rsidRPr="00696E3D">
        <w:rPr>
          <w:rFonts w:ascii="Calibri" w:hAnsi="Calibri"/>
          <w:sz w:val="22"/>
          <w:szCs w:val="22"/>
        </w:rPr>
        <w:t xml:space="preserve">The application of the ASR usually prevents inequitable results in cases involving a </w:t>
      </w:r>
      <w:r w:rsidRPr="00696E3D">
        <w:rPr>
          <w:rFonts w:ascii="Calibri" w:hAnsi="Calibri"/>
          <w:i/>
          <w:sz w:val="22"/>
          <w:szCs w:val="22"/>
        </w:rPr>
        <w:t>single insurance policy</w:t>
      </w:r>
      <w:r w:rsidRPr="00696E3D">
        <w:rPr>
          <w:rFonts w:ascii="Calibri" w:hAnsi="Calibri"/>
          <w:sz w:val="22"/>
          <w:szCs w:val="22"/>
        </w:rPr>
        <w:t xml:space="preserve">. An insurer who has paid a loss to its insured under a policy should not be allowed to sue that insured or a co-insured under the </w:t>
      </w:r>
      <w:r w:rsidRPr="00696E3D">
        <w:rPr>
          <w:rFonts w:ascii="Calibri" w:hAnsi="Calibri"/>
          <w:i/>
          <w:sz w:val="22"/>
          <w:szCs w:val="22"/>
        </w:rPr>
        <w:t xml:space="preserve">same </w:t>
      </w:r>
      <w:r w:rsidRPr="00696E3D">
        <w:rPr>
          <w:rFonts w:ascii="Calibri" w:hAnsi="Calibri"/>
          <w:sz w:val="22"/>
          <w:szCs w:val="22"/>
        </w:rPr>
        <w:t>po</w:t>
      </w:r>
      <w:r w:rsidR="009606C6" w:rsidRPr="00696E3D">
        <w:rPr>
          <w:rFonts w:ascii="Calibri" w:hAnsi="Calibri"/>
          <w:sz w:val="22"/>
          <w:szCs w:val="22"/>
        </w:rPr>
        <w:t>licy to recover that same loss.</w:t>
      </w:r>
      <w:r w:rsidR="00587897">
        <w:rPr>
          <w:rFonts w:ascii="Calibri" w:hAnsi="Calibri"/>
          <w:sz w:val="22"/>
          <w:szCs w:val="22"/>
        </w:rPr>
        <w:t xml:space="preserve"> </w:t>
      </w:r>
      <w:r w:rsidR="00027F07" w:rsidRPr="00696E3D">
        <w:rPr>
          <w:rFonts w:ascii="Calibri" w:hAnsi="Calibri"/>
          <w:sz w:val="22"/>
          <w:szCs w:val="22"/>
        </w:rPr>
        <w:t xml:space="preserve">Every state is </w:t>
      </w:r>
      <w:r w:rsidR="00DE3879" w:rsidRPr="00696E3D">
        <w:rPr>
          <w:rFonts w:ascii="Calibri" w:hAnsi="Calibri"/>
          <w:sz w:val="22"/>
          <w:szCs w:val="22"/>
        </w:rPr>
        <w:t>different,</w:t>
      </w:r>
      <w:r w:rsidR="00027F07" w:rsidRPr="00696E3D">
        <w:rPr>
          <w:rFonts w:ascii="Calibri" w:hAnsi="Calibri"/>
          <w:sz w:val="22"/>
          <w:szCs w:val="22"/>
        </w:rPr>
        <w:t xml:space="preserve"> and some states have, over time, developed various exceptions to the application of the ASR. For example, if an insurer pays on behalf of one insured for damage caused by a second insured, under a </w:t>
      </w:r>
      <w:r w:rsidR="0021209A" w:rsidRPr="00696E3D">
        <w:rPr>
          <w:rFonts w:ascii="Calibri" w:hAnsi="Calibri"/>
          <w:sz w:val="22"/>
          <w:szCs w:val="22"/>
        </w:rPr>
        <w:t>p</w:t>
      </w:r>
      <w:r w:rsidR="00027F07" w:rsidRPr="00696E3D">
        <w:rPr>
          <w:rFonts w:ascii="Calibri" w:hAnsi="Calibri"/>
          <w:sz w:val="22"/>
          <w:szCs w:val="22"/>
        </w:rPr>
        <w:t>olicy that does not cover the second insured for the loss, the insurer might be allowed to subrogate against the second insured, a</w:t>
      </w:r>
      <w:r w:rsidR="009606C6" w:rsidRPr="00696E3D">
        <w:rPr>
          <w:rFonts w:ascii="Calibri" w:hAnsi="Calibri"/>
          <w:sz w:val="22"/>
          <w:szCs w:val="22"/>
        </w:rPr>
        <w:t>n exception referred to as the “</w:t>
      </w:r>
      <w:r w:rsidR="00027F07" w:rsidRPr="00696E3D">
        <w:rPr>
          <w:rFonts w:ascii="Calibri" w:hAnsi="Calibri"/>
          <w:sz w:val="22"/>
          <w:szCs w:val="22"/>
        </w:rPr>
        <w:t>no-coverage exception.</w:t>
      </w:r>
      <w:r w:rsidR="009606C6" w:rsidRPr="00696E3D">
        <w:rPr>
          <w:rFonts w:ascii="Calibri" w:hAnsi="Calibri"/>
          <w:sz w:val="22"/>
          <w:szCs w:val="22"/>
        </w:rPr>
        <w:t>”</w:t>
      </w:r>
      <w:r w:rsidR="00027F07" w:rsidRPr="00696E3D">
        <w:rPr>
          <w:rFonts w:ascii="Calibri" w:hAnsi="Calibri"/>
          <w:sz w:val="22"/>
          <w:szCs w:val="22"/>
        </w:rPr>
        <w:t xml:space="preserve"> </w:t>
      </w:r>
      <w:r w:rsidR="00027F07" w:rsidRPr="00696E3D">
        <w:rPr>
          <w:rFonts w:ascii="Calibri" w:hAnsi="Calibri"/>
          <w:i/>
          <w:iCs/>
          <w:sz w:val="22"/>
          <w:szCs w:val="22"/>
        </w:rPr>
        <w:t xml:space="preserve">Chubb Ins. Co. v. </w:t>
      </w:r>
      <w:proofErr w:type="spellStart"/>
      <w:r w:rsidR="00027F07" w:rsidRPr="00696E3D">
        <w:rPr>
          <w:rFonts w:ascii="Calibri" w:hAnsi="Calibri"/>
          <w:i/>
          <w:iCs/>
          <w:sz w:val="22"/>
          <w:szCs w:val="22"/>
        </w:rPr>
        <w:t>DeChambre</w:t>
      </w:r>
      <w:proofErr w:type="spellEnd"/>
      <w:r w:rsidR="00027F07" w:rsidRPr="00696E3D">
        <w:rPr>
          <w:rFonts w:ascii="Calibri" w:hAnsi="Calibri"/>
          <w:sz w:val="22"/>
          <w:szCs w:val="22"/>
        </w:rPr>
        <w:t>, 808 N.E.2d 37 (Ill. App. 2004)</w:t>
      </w:r>
      <w:r w:rsidR="009606C6" w:rsidRPr="00696E3D">
        <w:rPr>
          <w:rFonts w:ascii="Calibri" w:hAnsi="Calibri"/>
          <w:sz w:val="22"/>
          <w:szCs w:val="22"/>
        </w:rPr>
        <w:t>;</w:t>
      </w:r>
      <w:r w:rsidR="00027F07" w:rsidRPr="00696E3D">
        <w:rPr>
          <w:rFonts w:ascii="Calibri" w:hAnsi="Calibri"/>
          <w:sz w:val="22"/>
          <w:szCs w:val="22"/>
        </w:rPr>
        <w:t xml:space="preserve"> </w:t>
      </w:r>
      <w:r w:rsidR="00027F07" w:rsidRPr="00696E3D">
        <w:rPr>
          <w:rFonts w:ascii="Calibri" w:hAnsi="Calibri"/>
          <w:i/>
          <w:iCs/>
          <w:sz w:val="22"/>
          <w:szCs w:val="22"/>
        </w:rPr>
        <w:t>Rosato v. Karl Koch Erecting Co.</w:t>
      </w:r>
      <w:r w:rsidR="00027F07" w:rsidRPr="00696E3D">
        <w:rPr>
          <w:rFonts w:ascii="Calibri" w:hAnsi="Calibri"/>
          <w:sz w:val="22"/>
          <w:szCs w:val="22"/>
        </w:rPr>
        <w:t>, 865 F. Supp. 104 (E.D.</w:t>
      </w:r>
      <w:r w:rsidR="009606C6" w:rsidRPr="00696E3D">
        <w:rPr>
          <w:rFonts w:ascii="Calibri" w:hAnsi="Calibri"/>
          <w:sz w:val="22"/>
          <w:szCs w:val="22"/>
        </w:rPr>
        <w:t xml:space="preserve"> </w:t>
      </w:r>
      <w:r w:rsidR="00027F07" w:rsidRPr="00696E3D">
        <w:rPr>
          <w:rFonts w:ascii="Calibri" w:hAnsi="Calibri"/>
          <w:sz w:val="22"/>
          <w:szCs w:val="22"/>
        </w:rPr>
        <w:t>N.Y. 1994).</w:t>
      </w:r>
      <w:r w:rsidR="00854642" w:rsidRPr="00696E3D">
        <w:rPr>
          <w:rFonts w:ascii="Calibri" w:hAnsi="Calibri"/>
          <w:sz w:val="22"/>
          <w:szCs w:val="22"/>
        </w:rPr>
        <w:t xml:space="preserve"> An insurer might also be able to subrogate for damage caused by a subcontractor</w:t>
      </w:r>
      <w:r w:rsidR="009606C6" w:rsidRPr="00696E3D">
        <w:rPr>
          <w:rFonts w:ascii="Calibri" w:hAnsi="Calibri"/>
          <w:sz w:val="22"/>
          <w:szCs w:val="22"/>
        </w:rPr>
        <w:t>’</w:t>
      </w:r>
      <w:r w:rsidR="00854642" w:rsidRPr="00696E3D">
        <w:rPr>
          <w:rFonts w:ascii="Calibri" w:hAnsi="Calibri"/>
          <w:sz w:val="22"/>
          <w:szCs w:val="22"/>
        </w:rPr>
        <w:t>s negligence where the insured general contractor</w:t>
      </w:r>
      <w:r w:rsidR="009606C6" w:rsidRPr="00696E3D">
        <w:rPr>
          <w:rFonts w:ascii="Calibri" w:hAnsi="Calibri"/>
          <w:sz w:val="22"/>
          <w:szCs w:val="22"/>
        </w:rPr>
        <w:t>’</w:t>
      </w:r>
      <w:r w:rsidR="00854642" w:rsidRPr="00696E3D">
        <w:rPr>
          <w:rFonts w:ascii="Calibri" w:hAnsi="Calibri"/>
          <w:sz w:val="22"/>
          <w:szCs w:val="22"/>
        </w:rPr>
        <w:t xml:space="preserve">s policy covered the subcontractor for property damage, but not liability. </w:t>
      </w:r>
      <w:r w:rsidR="009606C6" w:rsidRPr="00696E3D">
        <w:rPr>
          <w:rFonts w:ascii="Calibri" w:hAnsi="Calibri"/>
          <w:i/>
          <w:iCs/>
          <w:sz w:val="22"/>
          <w:szCs w:val="22"/>
        </w:rPr>
        <w:t>Employers’</w:t>
      </w:r>
      <w:r w:rsidR="00854642" w:rsidRPr="00696E3D">
        <w:rPr>
          <w:rFonts w:ascii="Calibri" w:hAnsi="Calibri"/>
          <w:i/>
          <w:iCs/>
          <w:sz w:val="22"/>
          <w:szCs w:val="22"/>
        </w:rPr>
        <w:t xml:space="preserve"> Fire Ins. Co. v. Behunin</w:t>
      </w:r>
      <w:r w:rsidR="00854642" w:rsidRPr="00696E3D">
        <w:rPr>
          <w:rFonts w:ascii="Calibri" w:hAnsi="Calibri"/>
          <w:sz w:val="22"/>
          <w:szCs w:val="22"/>
        </w:rPr>
        <w:t xml:space="preserve">, 275 F. Supp. 399 (D. Colo. 1967). Another exception is where an insured has impaired the subrogation rights of the insurer. The insurer may be able to proceed against the insured or payee under the policy without the ASR being an impediment. </w:t>
      </w:r>
      <w:r w:rsidR="00854642" w:rsidRPr="00696E3D">
        <w:rPr>
          <w:rFonts w:ascii="Calibri" w:hAnsi="Calibri"/>
          <w:i/>
          <w:sz w:val="22"/>
          <w:szCs w:val="22"/>
        </w:rPr>
        <w:t>Maynard v. State Farm Mut. Auto. Ins. Co</w:t>
      </w:r>
      <w:r w:rsidR="00854642" w:rsidRPr="00696E3D">
        <w:rPr>
          <w:rFonts w:ascii="Calibri" w:hAnsi="Calibri"/>
          <w:sz w:val="22"/>
          <w:szCs w:val="22"/>
        </w:rPr>
        <w:t>., 902 P.2d 1328 (Alaska 1995).</w:t>
      </w:r>
    </w:p>
    <w:p w14:paraId="1C48E18F" w14:textId="77777777" w:rsidR="00984E2A" w:rsidRPr="00A6631E" w:rsidRDefault="00984E2A" w:rsidP="00696E3D">
      <w:pPr>
        <w:spacing w:before="240" w:after="120"/>
        <w:jc w:val="center"/>
        <w:rPr>
          <w:rFonts w:ascii="Calibri" w:hAnsi="Calibri"/>
          <w:b/>
          <w:i/>
          <w:color w:val="1F3864" w:themeColor="accent1" w:themeShade="80"/>
          <w:sz w:val="24"/>
          <w:szCs w:val="24"/>
        </w:rPr>
      </w:pPr>
      <w:r w:rsidRPr="00A6631E">
        <w:rPr>
          <w:rFonts w:ascii="Calibri" w:hAnsi="Calibri"/>
          <w:b/>
          <w:i/>
          <w:color w:val="1F3864" w:themeColor="accent1" w:themeShade="80"/>
          <w:sz w:val="24"/>
          <w:szCs w:val="24"/>
        </w:rPr>
        <w:t>Summary</w:t>
      </w:r>
    </w:p>
    <w:p w14:paraId="3301F67A" w14:textId="71D77E74" w:rsidR="00984E2A" w:rsidRPr="00696E3D" w:rsidRDefault="00984E2A" w:rsidP="00064C4D">
      <w:pPr>
        <w:spacing w:before="120" w:after="120"/>
        <w:jc w:val="both"/>
        <w:rPr>
          <w:rFonts w:ascii="Calibri" w:hAnsi="Calibri"/>
          <w:sz w:val="22"/>
          <w:szCs w:val="22"/>
        </w:rPr>
      </w:pPr>
      <w:r w:rsidRPr="00696E3D">
        <w:rPr>
          <w:rFonts w:ascii="Calibri" w:hAnsi="Calibri"/>
          <w:sz w:val="22"/>
          <w:szCs w:val="22"/>
        </w:rPr>
        <w:t>The ASR may be applicable in any case in which the tortfeasor has liability insurance with an insurer who is related to or the same as the subrogated carrier. The public policy underlying the ASR and the stated purposes for its application should be understood thoroughly in order to avoid its application in cases in which it can be avoided. Chinese walls can be erected to avoid the inadvertent sharing of information by an insurer at the expense of its insured. If an insurer is not the same</w:t>
      </w:r>
      <w:r w:rsidR="00696E3D" w:rsidRPr="00696E3D">
        <w:rPr>
          <w:rFonts w:ascii="Calibri" w:hAnsi="Calibri"/>
          <w:sz w:val="22"/>
          <w:szCs w:val="22"/>
        </w:rPr>
        <w:t>,</w:t>
      </w:r>
      <w:r w:rsidRPr="00696E3D">
        <w:rPr>
          <w:rFonts w:ascii="Calibri" w:hAnsi="Calibri"/>
          <w:sz w:val="22"/>
          <w:szCs w:val="22"/>
        </w:rPr>
        <w:t xml:space="preserve"> but have some sort of corporate relationship, the ASR should be carefully scrutinized. If there is a large deductible, an excess insurer, or a large SIR involved, then some part of the subrogated claim may be barred by the ASR while other parts are not. Knowing which can make the difference between a large subrogation recovery and no recovery at all. </w:t>
      </w:r>
      <w:r w:rsidR="00064C4D" w:rsidRPr="00064C4D">
        <w:rPr>
          <w:rFonts w:ascii="Calibri" w:hAnsi="Calibri"/>
          <w:sz w:val="22"/>
          <w:szCs w:val="22"/>
        </w:rPr>
        <w:t xml:space="preserve">With the help of research by </w:t>
      </w:r>
      <w:r w:rsidR="00064C4D">
        <w:rPr>
          <w:rFonts w:ascii="Calibri" w:hAnsi="Calibri"/>
          <w:sz w:val="22"/>
          <w:szCs w:val="22"/>
        </w:rPr>
        <w:t>Jacob Coz</w:t>
      </w:r>
      <w:r w:rsidR="00064C4D" w:rsidRPr="00064C4D">
        <w:rPr>
          <w:rFonts w:ascii="Calibri" w:hAnsi="Calibri"/>
          <w:sz w:val="22"/>
          <w:szCs w:val="22"/>
        </w:rPr>
        <w:t>, a Marquette law student</w:t>
      </w:r>
      <w:r w:rsidR="00DC3FC1">
        <w:rPr>
          <w:rFonts w:ascii="Calibri" w:hAnsi="Calibri"/>
          <w:sz w:val="22"/>
          <w:szCs w:val="22"/>
        </w:rPr>
        <w:t xml:space="preserve"> and summer legal intern at Matthiesen, Wickert &amp; Lehrer, S.C.</w:t>
      </w:r>
      <w:r w:rsidR="00064C4D" w:rsidRPr="00064C4D">
        <w:rPr>
          <w:rFonts w:ascii="Calibri" w:hAnsi="Calibri"/>
          <w:sz w:val="22"/>
          <w:szCs w:val="22"/>
        </w:rPr>
        <w:t>, let’s take a closer look at</w:t>
      </w:r>
      <w:r w:rsidR="00064C4D">
        <w:rPr>
          <w:rFonts w:ascii="Calibri" w:hAnsi="Calibri"/>
          <w:sz w:val="22"/>
          <w:szCs w:val="22"/>
        </w:rPr>
        <w:t xml:space="preserve"> </w:t>
      </w:r>
      <w:r w:rsidR="00064C4D" w:rsidRPr="00064C4D">
        <w:rPr>
          <w:rFonts w:ascii="Calibri" w:hAnsi="Calibri"/>
          <w:sz w:val="22"/>
          <w:szCs w:val="22"/>
        </w:rPr>
        <w:t>the specific laws of all 50 states.</w:t>
      </w:r>
    </w:p>
    <w:p w14:paraId="6D5983C1" w14:textId="77777777" w:rsidR="00935406" w:rsidRPr="00A6631E" w:rsidRDefault="00935406" w:rsidP="00696E3D">
      <w:pPr>
        <w:keepNext/>
        <w:spacing w:before="360"/>
        <w:jc w:val="center"/>
        <w:rPr>
          <w:rFonts w:ascii="Calibri" w:hAnsi="Calibri"/>
          <w:b/>
          <w:color w:val="1F3864" w:themeColor="accent1" w:themeShade="80"/>
          <w:sz w:val="24"/>
          <w:szCs w:val="24"/>
          <w:u w:val="single"/>
        </w:rPr>
      </w:pPr>
      <w:r w:rsidRPr="00A6631E">
        <w:rPr>
          <w:rFonts w:ascii="Calibri" w:hAnsi="Calibri"/>
          <w:b/>
          <w:color w:val="1F3864" w:themeColor="accent1" w:themeShade="80"/>
          <w:sz w:val="24"/>
          <w:szCs w:val="24"/>
          <w:u w:val="single"/>
        </w:rPr>
        <w:t>SUMMARY OF ANTI-SUBROGATION RULE IN ALL 50 STATES</w:t>
      </w:r>
    </w:p>
    <w:p w14:paraId="1E20705C" w14:textId="77777777" w:rsidR="000770F0" w:rsidRPr="00A6631E" w:rsidRDefault="00935406" w:rsidP="00696E3D">
      <w:pPr>
        <w:keepNext/>
        <w:spacing w:before="240"/>
        <w:jc w:val="both"/>
        <w:rPr>
          <w:rFonts w:ascii="Calibri" w:hAnsi="Calibri"/>
          <w:color w:val="1F3864" w:themeColor="accent1" w:themeShade="80"/>
          <w:sz w:val="24"/>
          <w:szCs w:val="24"/>
        </w:rPr>
      </w:pPr>
      <w:r w:rsidRPr="00A6631E">
        <w:rPr>
          <w:rFonts w:ascii="Calibri" w:hAnsi="Calibri"/>
          <w:b/>
          <w:color w:val="1F3864" w:themeColor="accent1" w:themeShade="80"/>
          <w:sz w:val="24"/>
          <w:szCs w:val="24"/>
          <w:u w:val="single"/>
        </w:rPr>
        <w:t>ALABAMA</w:t>
      </w:r>
    </w:p>
    <w:p w14:paraId="15DDECA0" w14:textId="4A4F97C5" w:rsidR="00352B1A" w:rsidRPr="00352B1A" w:rsidRDefault="000770F0" w:rsidP="00352B1A">
      <w:pPr>
        <w:spacing w:before="120" w:after="120"/>
        <w:jc w:val="both"/>
        <w:rPr>
          <w:rFonts w:ascii="Calibri" w:hAnsi="Calibri"/>
          <w:sz w:val="22"/>
          <w:szCs w:val="22"/>
        </w:rPr>
      </w:pPr>
      <w:r w:rsidRPr="00696E3D">
        <w:rPr>
          <w:rFonts w:ascii="Calibri" w:hAnsi="Calibri"/>
          <w:sz w:val="22"/>
          <w:szCs w:val="22"/>
        </w:rPr>
        <w:t xml:space="preserve">An insurer has no right of subrogation against its own insured. </w:t>
      </w:r>
      <w:r w:rsidRPr="00696E3D">
        <w:rPr>
          <w:rFonts w:ascii="Calibri" w:hAnsi="Calibri"/>
          <w:i/>
          <w:sz w:val="22"/>
          <w:szCs w:val="22"/>
        </w:rPr>
        <w:t>Moring v. State Farm Mut. Auto. Ins. Co.</w:t>
      </w:r>
      <w:r w:rsidRPr="00696E3D">
        <w:rPr>
          <w:rFonts w:ascii="Calibri" w:hAnsi="Calibri"/>
          <w:sz w:val="22"/>
          <w:szCs w:val="22"/>
        </w:rPr>
        <w:t>, 426 So.2d 810 (</w:t>
      </w:r>
      <w:r w:rsidR="00696E3D" w:rsidRPr="00696E3D">
        <w:rPr>
          <w:rFonts w:ascii="Calibri" w:hAnsi="Calibri"/>
          <w:sz w:val="22"/>
          <w:szCs w:val="22"/>
        </w:rPr>
        <w:t xml:space="preserve">Ala. 1982). </w:t>
      </w:r>
      <w:r w:rsidRPr="00696E3D">
        <w:rPr>
          <w:rFonts w:ascii="Calibri" w:hAnsi="Calibri"/>
          <w:sz w:val="22"/>
          <w:szCs w:val="22"/>
        </w:rPr>
        <w:t>There is no righ</w:t>
      </w:r>
      <w:r w:rsidR="00696E3D" w:rsidRPr="00696E3D">
        <w:rPr>
          <w:rFonts w:ascii="Calibri" w:hAnsi="Calibri"/>
          <w:sz w:val="22"/>
          <w:szCs w:val="22"/>
        </w:rPr>
        <w:t>t of subrogation against a tort</w:t>
      </w:r>
      <w:r w:rsidRPr="00696E3D">
        <w:rPr>
          <w:rFonts w:ascii="Calibri" w:hAnsi="Calibri"/>
          <w:sz w:val="22"/>
          <w:szCs w:val="22"/>
        </w:rPr>
        <w:t xml:space="preserve">feasor when the tortfeasor and victim are insured by the same insurer. </w:t>
      </w:r>
      <w:r w:rsidRPr="00696E3D">
        <w:rPr>
          <w:rFonts w:ascii="Calibri" w:hAnsi="Calibri"/>
          <w:i/>
          <w:sz w:val="22"/>
          <w:szCs w:val="22"/>
        </w:rPr>
        <w:t>Id</w:t>
      </w:r>
      <w:r w:rsidRPr="00696E3D">
        <w:rPr>
          <w:rFonts w:ascii="Calibri" w:hAnsi="Calibri"/>
          <w:sz w:val="22"/>
          <w:szCs w:val="22"/>
        </w:rPr>
        <w:t xml:space="preserve">. </w:t>
      </w:r>
      <w:r w:rsidR="00352B1A" w:rsidRPr="00352B1A">
        <w:rPr>
          <w:rFonts w:ascii="Calibri" w:hAnsi="Calibri"/>
          <w:sz w:val="22"/>
          <w:szCs w:val="22"/>
        </w:rPr>
        <w:t xml:space="preserve">In that case, plaintiff Karen S. Moring was injured in a single vehicle accident in Mobile County. The vehicle in which she was a passenger was being driven by Lawrence D. Phillips. Moring incurred in excess of $13,000 in medical expenses as a result of the injuries she suffered. At the time she was injured, Moring's father, Herbert Moring, had in full force and effect four policies of insurance issued by defendant State Farm Mutual Automobile Insurance Company. The four policies carried medical payment benefits in the aggregate amount of $8,000. </w:t>
      </w:r>
      <w:r w:rsidR="00352B1A" w:rsidRPr="00B80AA2">
        <w:rPr>
          <w:rFonts w:ascii="Calibri" w:hAnsi="Calibri"/>
          <w:sz w:val="22"/>
          <w:szCs w:val="22"/>
        </w:rPr>
        <w:t>State Farm also provided liability and medical payments coverage to Lawrence Phillips, under a policy insuring his father Anthony Phillips and his family</w:t>
      </w:r>
      <w:r w:rsidR="00352B1A" w:rsidRPr="00352B1A">
        <w:rPr>
          <w:rFonts w:ascii="Calibri" w:hAnsi="Calibri"/>
          <w:sz w:val="22"/>
          <w:szCs w:val="22"/>
        </w:rPr>
        <w:t xml:space="preserve">. The liability limits were $25,000 per person while medical benefits limits were in the amount of $5,000 per person. The court held that under the facts of this case, State Farm had no right of subrogation against the tort-feasor Phillips. </w:t>
      </w:r>
      <w:r w:rsidR="00352B1A">
        <w:rPr>
          <w:rFonts w:ascii="Calibri" w:hAnsi="Calibri"/>
          <w:sz w:val="22"/>
          <w:szCs w:val="22"/>
        </w:rPr>
        <w:t xml:space="preserve">It appears that, </w:t>
      </w:r>
      <w:r w:rsidR="00352B1A" w:rsidRPr="00352B1A">
        <w:rPr>
          <w:rFonts w:ascii="Calibri" w:hAnsi="Calibri"/>
          <w:sz w:val="22"/>
          <w:szCs w:val="22"/>
        </w:rPr>
        <w:t>Alabama, unlike some other states, applies the ASR to case</w:t>
      </w:r>
      <w:r w:rsidR="00352B1A">
        <w:rPr>
          <w:rFonts w:ascii="Calibri" w:hAnsi="Calibri"/>
          <w:sz w:val="22"/>
          <w:szCs w:val="22"/>
        </w:rPr>
        <w:t xml:space="preserve">s </w:t>
      </w:r>
      <w:r w:rsidR="00352B1A" w:rsidRPr="00352B1A">
        <w:rPr>
          <w:rFonts w:ascii="Calibri" w:hAnsi="Calibri"/>
          <w:sz w:val="22"/>
          <w:szCs w:val="22"/>
        </w:rPr>
        <w:t xml:space="preserve">which involve separate insureds under </w:t>
      </w:r>
      <w:r w:rsidR="00352B1A" w:rsidRPr="00B80AA2">
        <w:rPr>
          <w:rFonts w:ascii="Calibri" w:hAnsi="Calibri"/>
          <w:i/>
          <w:iCs/>
          <w:sz w:val="22"/>
          <w:szCs w:val="22"/>
        </w:rPr>
        <w:t>two separate policies</w:t>
      </w:r>
      <w:r w:rsidR="00352B1A" w:rsidRPr="00352B1A">
        <w:rPr>
          <w:rFonts w:ascii="Calibri" w:hAnsi="Calibri"/>
          <w:sz w:val="22"/>
          <w:szCs w:val="22"/>
        </w:rPr>
        <w:t>.</w:t>
      </w:r>
    </w:p>
    <w:p w14:paraId="5D834CF7" w14:textId="6D5C632F" w:rsidR="006922FF" w:rsidRPr="00696E3D" w:rsidRDefault="000770F0" w:rsidP="00696E3D">
      <w:pPr>
        <w:spacing w:before="120" w:after="120"/>
        <w:jc w:val="both"/>
        <w:rPr>
          <w:rFonts w:ascii="Calibri" w:hAnsi="Calibri"/>
          <w:sz w:val="22"/>
          <w:szCs w:val="22"/>
        </w:rPr>
      </w:pPr>
      <w:r w:rsidRPr="00696E3D">
        <w:rPr>
          <w:rFonts w:ascii="Calibri" w:hAnsi="Calibri"/>
          <w:sz w:val="22"/>
          <w:szCs w:val="22"/>
        </w:rPr>
        <w:t xml:space="preserve">The purchaser of a home has an insurable interest in the </w:t>
      </w:r>
      <w:r w:rsidR="00DE3879" w:rsidRPr="00696E3D">
        <w:rPr>
          <w:rFonts w:ascii="Calibri" w:hAnsi="Calibri"/>
          <w:sz w:val="22"/>
          <w:szCs w:val="22"/>
        </w:rPr>
        <w:t>property but</w:t>
      </w:r>
      <w:r w:rsidRPr="00696E3D">
        <w:rPr>
          <w:rFonts w:ascii="Calibri" w:hAnsi="Calibri"/>
          <w:sz w:val="22"/>
          <w:szCs w:val="22"/>
        </w:rPr>
        <w:t xml:space="preserve"> does not inherently become an “additional insured</w:t>
      </w:r>
      <w:r w:rsidR="00696E3D" w:rsidRPr="00696E3D">
        <w:rPr>
          <w:rFonts w:ascii="Calibri" w:hAnsi="Calibri"/>
          <w:sz w:val="22"/>
          <w:szCs w:val="22"/>
        </w:rPr>
        <w:t>” on the contractor’</w:t>
      </w:r>
      <w:r w:rsidRPr="00696E3D">
        <w:rPr>
          <w:rFonts w:ascii="Calibri" w:hAnsi="Calibri"/>
          <w:sz w:val="22"/>
          <w:szCs w:val="22"/>
        </w:rPr>
        <w:t xml:space="preserve">s builder’s risk policy by purchasing the home. </w:t>
      </w:r>
      <w:r w:rsidRPr="00696E3D">
        <w:rPr>
          <w:rFonts w:ascii="Calibri" w:hAnsi="Calibri"/>
          <w:i/>
          <w:sz w:val="22"/>
          <w:szCs w:val="22"/>
        </w:rPr>
        <w:t>McGuire v. Wilson</w:t>
      </w:r>
      <w:r w:rsidR="00807B9A">
        <w:rPr>
          <w:rFonts w:ascii="Calibri" w:hAnsi="Calibri"/>
          <w:sz w:val="22"/>
          <w:szCs w:val="22"/>
        </w:rPr>
        <w:t>, 372 So.</w:t>
      </w:r>
      <w:r w:rsidRPr="00696E3D">
        <w:rPr>
          <w:rFonts w:ascii="Calibri" w:hAnsi="Calibri"/>
          <w:sz w:val="22"/>
          <w:szCs w:val="22"/>
        </w:rPr>
        <w:t>2d 1297 (Ala. 1979).</w:t>
      </w:r>
      <w:r w:rsidR="00696E3D" w:rsidRPr="00696E3D">
        <w:rPr>
          <w:rFonts w:ascii="Calibri" w:hAnsi="Calibri"/>
          <w:sz w:val="22"/>
          <w:szCs w:val="22"/>
        </w:rPr>
        <w:t xml:space="preserve"> In </w:t>
      </w:r>
      <w:r w:rsidRPr="00696E3D">
        <w:rPr>
          <w:rFonts w:ascii="Calibri" w:hAnsi="Calibri"/>
          <w:i/>
          <w:sz w:val="22"/>
          <w:szCs w:val="22"/>
        </w:rPr>
        <w:t>McGuire</w:t>
      </w:r>
      <w:r w:rsidR="00696E3D" w:rsidRPr="00696E3D">
        <w:rPr>
          <w:rFonts w:ascii="Calibri" w:hAnsi="Calibri"/>
          <w:i/>
          <w:sz w:val="22"/>
          <w:szCs w:val="22"/>
        </w:rPr>
        <w:t xml:space="preserve">, </w:t>
      </w:r>
      <w:r w:rsidR="00696E3D" w:rsidRPr="00696E3D">
        <w:rPr>
          <w:rFonts w:ascii="Calibri" w:hAnsi="Calibri"/>
          <w:sz w:val="22"/>
          <w:szCs w:val="22"/>
        </w:rPr>
        <w:t>McGuire, the h</w:t>
      </w:r>
      <w:r w:rsidRPr="00696E3D">
        <w:rPr>
          <w:rFonts w:ascii="Calibri" w:hAnsi="Calibri"/>
          <w:sz w:val="22"/>
          <w:szCs w:val="22"/>
        </w:rPr>
        <w:t>omebuilder</w:t>
      </w:r>
      <w:r w:rsidR="00696E3D" w:rsidRPr="00696E3D">
        <w:rPr>
          <w:rFonts w:ascii="Calibri" w:hAnsi="Calibri"/>
          <w:sz w:val="22"/>
          <w:szCs w:val="22"/>
        </w:rPr>
        <w:t xml:space="preserve">, </w:t>
      </w:r>
      <w:r w:rsidRPr="00696E3D">
        <w:rPr>
          <w:rFonts w:ascii="Calibri" w:hAnsi="Calibri"/>
          <w:sz w:val="22"/>
          <w:szCs w:val="22"/>
        </w:rPr>
        <w:t>got a builder</w:t>
      </w:r>
      <w:r w:rsidR="008F01AF" w:rsidRPr="00696E3D">
        <w:rPr>
          <w:rFonts w:ascii="Calibri" w:hAnsi="Calibri"/>
          <w:sz w:val="22"/>
          <w:szCs w:val="22"/>
        </w:rPr>
        <w:t>’s</w:t>
      </w:r>
      <w:r w:rsidRPr="00696E3D">
        <w:rPr>
          <w:rFonts w:ascii="Calibri" w:hAnsi="Calibri"/>
          <w:sz w:val="22"/>
          <w:szCs w:val="22"/>
        </w:rPr>
        <w:t xml:space="preserve"> risk policy from American </w:t>
      </w:r>
      <w:r w:rsidR="008F01AF" w:rsidRPr="00696E3D">
        <w:rPr>
          <w:rFonts w:ascii="Calibri" w:hAnsi="Calibri"/>
          <w:sz w:val="22"/>
          <w:szCs w:val="22"/>
        </w:rPr>
        <w:t>Liberty, which</w:t>
      </w:r>
      <w:r w:rsidRPr="00696E3D">
        <w:rPr>
          <w:rFonts w:ascii="Calibri" w:hAnsi="Calibri"/>
          <w:sz w:val="22"/>
          <w:szCs w:val="22"/>
        </w:rPr>
        <w:t xml:space="preserve"> insured McGuire from loss during construction of a home. McGuire contracted to sell the home to Wilson, contingent on Wilson getting an FHA loan. Wilson moved into the home prior to getting the FHA loan and negligently started a fire that damaged the home. American Liberty paid McGuire $22,000 for the damage assuming the damage was covered under the builder</w:t>
      </w:r>
      <w:r w:rsidR="008F01AF" w:rsidRPr="00696E3D">
        <w:rPr>
          <w:rFonts w:ascii="Calibri" w:hAnsi="Calibri"/>
          <w:sz w:val="22"/>
          <w:szCs w:val="22"/>
        </w:rPr>
        <w:t>’s</w:t>
      </w:r>
      <w:r w:rsidRPr="00696E3D">
        <w:rPr>
          <w:rFonts w:ascii="Calibri" w:hAnsi="Calibri"/>
          <w:sz w:val="22"/>
          <w:szCs w:val="22"/>
        </w:rPr>
        <w:t xml:space="preserve"> risk policy and the home subsequently was officially sold to Wilson. American Liberty filed a subrogation action against Wilson. The court held that a purchaser with a beneficial interest does not become an additional insured under the builders’ risk policy so as to trigger the </w:t>
      </w:r>
      <w:r w:rsidR="001525C6">
        <w:rPr>
          <w:rFonts w:ascii="Calibri" w:hAnsi="Calibri"/>
          <w:sz w:val="22"/>
          <w:szCs w:val="22"/>
        </w:rPr>
        <w:t>ASR</w:t>
      </w:r>
      <w:r w:rsidR="00696E3D" w:rsidRPr="00696E3D">
        <w:rPr>
          <w:rFonts w:ascii="Calibri" w:hAnsi="Calibri"/>
          <w:sz w:val="22"/>
          <w:szCs w:val="22"/>
        </w:rPr>
        <w:t xml:space="preserve"> </w:t>
      </w:r>
      <w:r w:rsidRPr="00696E3D">
        <w:rPr>
          <w:rFonts w:ascii="Calibri" w:hAnsi="Calibri"/>
          <w:sz w:val="22"/>
          <w:szCs w:val="22"/>
        </w:rPr>
        <w:t>and</w:t>
      </w:r>
      <w:r w:rsidR="00696E3D" w:rsidRPr="00696E3D">
        <w:rPr>
          <w:rFonts w:ascii="Calibri" w:hAnsi="Calibri"/>
          <w:sz w:val="22"/>
          <w:szCs w:val="22"/>
        </w:rPr>
        <w:t>,</w:t>
      </w:r>
      <w:r w:rsidRPr="00696E3D">
        <w:rPr>
          <w:rFonts w:ascii="Calibri" w:hAnsi="Calibri"/>
          <w:sz w:val="22"/>
          <w:szCs w:val="22"/>
        </w:rPr>
        <w:t xml:space="preserve"> therefore</w:t>
      </w:r>
      <w:r w:rsidR="00696E3D" w:rsidRPr="00696E3D">
        <w:rPr>
          <w:rFonts w:ascii="Calibri" w:hAnsi="Calibri"/>
          <w:sz w:val="22"/>
          <w:szCs w:val="22"/>
        </w:rPr>
        <w:t>,</w:t>
      </w:r>
      <w:r w:rsidRPr="00696E3D">
        <w:rPr>
          <w:rFonts w:ascii="Calibri" w:hAnsi="Calibri"/>
          <w:sz w:val="22"/>
          <w:szCs w:val="22"/>
        </w:rPr>
        <w:t xml:space="preserve"> subrogation was permissible.</w:t>
      </w:r>
    </w:p>
    <w:p w14:paraId="112C8DE1" w14:textId="77777777" w:rsidR="00CD1A0F" w:rsidRPr="00197809" w:rsidRDefault="00935406" w:rsidP="00696E3D">
      <w:pPr>
        <w:spacing w:before="120" w:after="120"/>
        <w:jc w:val="both"/>
        <w:rPr>
          <w:rFonts w:ascii="Calibri" w:hAnsi="Calibri"/>
          <w:color w:val="0F243E"/>
          <w:sz w:val="24"/>
          <w:szCs w:val="24"/>
        </w:rPr>
      </w:pPr>
      <w:r w:rsidRPr="00197809">
        <w:rPr>
          <w:rFonts w:ascii="Calibri" w:hAnsi="Calibri"/>
          <w:b/>
          <w:color w:val="0F243E"/>
          <w:sz w:val="24"/>
          <w:szCs w:val="24"/>
          <w:u w:val="single"/>
        </w:rPr>
        <w:t>ALASKA</w:t>
      </w:r>
    </w:p>
    <w:p w14:paraId="754BA4A9" w14:textId="77777777" w:rsidR="00CD1A0F" w:rsidRPr="008C4DC3" w:rsidRDefault="004B7BFF" w:rsidP="00696E3D">
      <w:pPr>
        <w:spacing w:before="120" w:after="120"/>
        <w:jc w:val="both"/>
        <w:rPr>
          <w:rFonts w:ascii="Calibri" w:hAnsi="Calibri"/>
          <w:sz w:val="22"/>
          <w:szCs w:val="22"/>
        </w:rPr>
      </w:pPr>
      <w:r w:rsidRPr="008C4DC3">
        <w:rPr>
          <w:rFonts w:ascii="Calibri" w:hAnsi="Calibri"/>
          <w:sz w:val="22"/>
          <w:szCs w:val="22"/>
        </w:rPr>
        <w:t xml:space="preserve">An insurer cannot recover by means of subrogation against its own insured. </w:t>
      </w:r>
      <w:r w:rsidRPr="008C4DC3">
        <w:rPr>
          <w:rFonts w:ascii="Calibri" w:hAnsi="Calibri"/>
          <w:i/>
          <w:sz w:val="22"/>
          <w:szCs w:val="22"/>
        </w:rPr>
        <w:t>Graham v. Rockman</w:t>
      </w:r>
      <w:r w:rsidRPr="008C4DC3">
        <w:rPr>
          <w:rFonts w:ascii="Calibri" w:hAnsi="Calibri"/>
          <w:sz w:val="22"/>
          <w:szCs w:val="22"/>
        </w:rPr>
        <w:t>, 504 P.2d 1351 (Alaska 1972). An insurer may not recover its losses from</w:t>
      </w:r>
      <w:r w:rsidR="0013147F" w:rsidRPr="008C4DC3">
        <w:rPr>
          <w:rFonts w:ascii="Calibri" w:hAnsi="Calibri"/>
          <w:sz w:val="22"/>
          <w:szCs w:val="22"/>
        </w:rPr>
        <w:t xml:space="preserve"> a negligent third party if the negligent third</w:t>
      </w:r>
      <w:r w:rsidRPr="008C4DC3">
        <w:rPr>
          <w:rFonts w:ascii="Calibri" w:hAnsi="Calibri"/>
          <w:sz w:val="22"/>
          <w:szCs w:val="22"/>
        </w:rPr>
        <w:t xml:space="preserve"> party is an additional insured under the applicable policy. </w:t>
      </w:r>
      <w:r w:rsidRPr="008C4DC3">
        <w:rPr>
          <w:rFonts w:ascii="Calibri" w:hAnsi="Calibri"/>
          <w:i/>
          <w:sz w:val="22"/>
          <w:szCs w:val="22"/>
        </w:rPr>
        <w:t>Id</w:t>
      </w:r>
      <w:r w:rsidRPr="008C4DC3">
        <w:rPr>
          <w:rFonts w:ascii="Calibri" w:hAnsi="Calibri"/>
          <w:sz w:val="22"/>
          <w:szCs w:val="22"/>
        </w:rPr>
        <w:t xml:space="preserve">. An insurer can seek reimbursement for medical expenses paid to its insured under his policy when it also insures the tortfeasor and the insured brings an action against the tortfeasor seeking damages for the same medical expenses. </w:t>
      </w:r>
      <w:r w:rsidRPr="008C4DC3">
        <w:rPr>
          <w:rFonts w:ascii="Calibri" w:hAnsi="Calibri"/>
          <w:i/>
          <w:sz w:val="22"/>
          <w:szCs w:val="22"/>
        </w:rPr>
        <w:t>Maynard v. State Farm Mut. Auto. Ins. Co.</w:t>
      </w:r>
      <w:r w:rsidRPr="008C4DC3">
        <w:rPr>
          <w:rFonts w:ascii="Calibri" w:hAnsi="Calibri"/>
          <w:sz w:val="22"/>
          <w:szCs w:val="22"/>
        </w:rPr>
        <w:t xml:space="preserve">, 902 P.2d 1328 (Alaska 1995). </w:t>
      </w:r>
      <w:r w:rsidR="004E33F0" w:rsidRPr="008C4DC3">
        <w:rPr>
          <w:rFonts w:ascii="Calibri" w:hAnsi="Calibri"/>
          <w:sz w:val="22"/>
          <w:szCs w:val="22"/>
        </w:rPr>
        <w:t>A subcontractor</w:t>
      </w:r>
      <w:r w:rsidR="00077F51" w:rsidRPr="008C4DC3">
        <w:rPr>
          <w:rFonts w:ascii="Calibri" w:hAnsi="Calibri"/>
          <w:sz w:val="22"/>
          <w:szCs w:val="22"/>
        </w:rPr>
        <w:t>’</w:t>
      </w:r>
      <w:r w:rsidR="004E33F0" w:rsidRPr="008C4DC3">
        <w:rPr>
          <w:rFonts w:ascii="Calibri" w:hAnsi="Calibri"/>
          <w:sz w:val="22"/>
          <w:szCs w:val="22"/>
        </w:rPr>
        <w:t>s immunity for liability to the insurer is not limited to the amount of damages to the subcontractor</w:t>
      </w:r>
      <w:r w:rsidR="00077F51" w:rsidRPr="008C4DC3">
        <w:rPr>
          <w:rFonts w:ascii="Calibri" w:hAnsi="Calibri"/>
          <w:sz w:val="22"/>
          <w:szCs w:val="22"/>
        </w:rPr>
        <w:t>’</w:t>
      </w:r>
      <w:r w:rsidR="004E33F0" w:rsidRPr="008C4DC3">
        <w:rPr>
          <w:rFonts w:ascii="Calibri" w:hAnsi="Calibri"/>
          <w:sz w:val="22"/>
          <w:szCs w:val="22"/>
        </w:rPr>
        <w:t>s own property, rather a builders</w:t>
      </w:r>
      <w:r w:rsidR="00077F51" w:rsidRPr="008C4DC3">
        <w:rPr>
          <w:rFonts w:ascii="Calibri" w:hAnsi="Calibri"/>
          <w:sz w:val="22"/>
          <w:szCs w:val="22"/>
        </w:rPr>
        <w:t>’</w:t>
      </w:r>
      <w:r w:rsidR="004E33F0" w:rsidRPr="008C4DC3">
        <w:rPr>
          <w:rFonts w:ascii="Calibri" w:hAnsi="Calibri"/>
          <w:sz w:val="22"/>
          <w:szCs w:val="22"/>
        </w:rPr>
        <w:t xml:space="preserve"> risk policy includes losses caused by negligence of any insured, and the insurer </w:t>
      </w:r>
      <w:r w:rsidR="008315C9" w:rsidRPr="008C4DC3">
        <w:rPr>
          <w:rFonts w:ascii="Calibri" w:hAnsi="Calibri"/>
          <w:sz w:val="22"/>
          <w:szCs w:val="22"/>
        </w:rPr>
        <w:t>cannot</w:t>
      </w:r>
      <w:r w:rsidR="004E33F0" w:rsidRPr="008C4DC3">
        <w:rPr>
          <w:rFonts w:ascii="Calibri" w:hAnsi="Calibri"/>
          <w:sz w:val="22"/>
          <w:szCs w:val="22"/>
        </w:rPr>
        <w:t xml:space="preserve"> shift those losses to an insured. </w:t>
      </w:r>
      <w:r w:rsidRPr="008C4DC3">
        <w:rPr>
          <w:rFonts w:ascii="Calibri" w:hAnsi="Calibri"/>
          <w:i/>
          <w:sz w:val="22"/>
          <w:szCs w:val="22"/>
        </w:rPr>
        <w:t>Baugh-Belarde Const. Co. v. College Utilities Corp.</w:t>
      </w:r>
      <w:r w:rsidRPr="008C4DC3">
        <w:rPr>
          <w:rFonts w:ascii="Calibri" w:hAnsi="Calibri"/>
          <w:sz w:val="22"/>
          <w:szCs w:val="22"/>
        </w:rPr>
        <w:t xml:space="preserve">, 561 P.2d 1211 (Alaska 1977). If an insurer insures both the tortfeasor and victim in an auto accident, after the insurer pays the victim for their medical expenses, the injured party can be barred from suing the tortfeasor for those same medical expenses if the insurer asks the injured party not to sue for those expenses. </w:t>
      </w:r>
      <w:r w:rsidRPr="008C4DC3">
        <w:rPr>
          <w:rFonts w:ascii="Calibri" w:hAnsi="Calibri"/>
          <w:i/>
          <w:sz w:val="22"/>
          <w:szCs w:val="22"/>
        </w:rPr>
        <w:t>Ruggles ex rel. Estate of Mayer v. Grow</w:t>
      </w:r>
      <w:r w:rsidRPr="008C4DC3">
        <w:rPr>
          <w:rFonts w:ascii="Calibri" w:hAnsi="Calibri"/>
          <w:sz w:val="22"/>
          <w:szCs w:val="22"/>
        </w:rPr>
        <w:t>, 984 P.2d 509 (Alaska 1999).</w:t>
      </w:r>
      <w:r w:rsidR="008C4DC3" w:rsidRPr="008C4DC3">
        <w:rPr>
          <w:rFonts w:ascii="Calibri" w:hAnsi="Calibri"/>
          <w:sz w:val="22"/>
          <w:szCs w:val="22"/>
        </w:rPr>
        <w:t xml:space="preserve"> </w:t>
      </w:r>
      <w:r w:rsidR="00077F51" w:rsidRPr="008C4DC3">
        <w:rPr>
          <w:rFonts w:ascii="Calibri" w:hAnsi="Calibri"/>
          <w:sz w:val="22"/>
          <w:szCs w:val="22"/>
        </w:rPr>
        <w:t xml:space="preserve">In </w:t>
      </w:r>
      <w:r w:rsidR="00437C33" w:rsidRPr="008C4DC3">
        <w:rPr>
          <w:rFonts w:ascii="Calibri" w:hAnsi="Calibri"/>
          <w:i/>
          <w:sz w:val="22"/>
          <w:szCs w:val="22"/>
        </w:rPr>
        <w:t>Ruggles</w:t>
      </w:r>
      <w:r w:rsidR="003F5147" w:rsidRPr="008C4DC3">
        <w:rPr>
          <w:rFonts w:ascii="Calibri" w:hAnsi="Calibri"/>
          <w:i/>
          <w:sz w:val="22"/>
          <w:szCs w:val="22"/>
        </w:rPr>
        <w:t xml:space="preserve"> </w:t>
      </w:r>
      <w:r w:rsidR="008C4DC3" w:rsidRPr="008C4DC3">
        <w:rPr>
          <w:rFonts w:ascii="Calibri" w:hAnsi="Calibri"/>
          <w:i/>
          <w:sz w:val="22"/>
          <w:szCs w:val="22"/>
        </w:rPr>
        <w:t>ex rel. Estate of Mayer</w:t>
      </w:r>
      <w:r w:rsidR="00077F51" w:rsidRPr="008C4DC3">
        <w:rPr>
          <w:rFonts w:ascii="Calibri" w:hAnsi="Calibri"/>
          <w:i/>
          <w:sz w:val="22"/>
          <w:szCs w:val="22"/>
        </w:rPr>
        <w:t xml:space="preserve">, </w:t>
      </w:r>
      <w:r w:rsidR="00077F51" w:rsidRPr="008C4DC3">
        <w:rPr>
          <w:rFonts w:ascii="Calibri" w:hAnsi="Calibri"/>
          <w:sz w:val="22"/>
          <w:szCs w:val="22"/>
        </w:rPr>
        <w:t>t</w:t>
      </w:r>
      <w:r w:rsidR="00437C33" w:rsidRPr="008C4DC3">
        <w:rPr>
          <w:rFonts w:ascii="Calibri" w:hAnsi="Calibri"/>
          <w:sz w:val="22"/>
          <w:szCs w:val="22"/>
        </w:rPr>
        <w:t xml:space="preserve">he insurer covered both the plaintiff and tortfeasor under separate policies. The court permitted the insurer to avoid a double recovery by a </w:t>
      </w:r>
      <w:r w:rsidR="00077F51" w:rsidRPr="008C4DC3">
        <w:rPr>
          <w:rFonts w:ascii="Calibri" w:hAnsi="Calibri"/>
          <w:sz w:val="22"/>
          <w:szCs w:val="22"/>
        </w:rPr>
        <w:t xml:space="preserve">Med Pay </w:t>
      </w:r>
      <w:r w:rsidR="00437C33" w:rsidRPr="008C4DC3">
        <w:rPr>
          <w:rFonts w:ascii="Calibri" w:hAnsi="Calibri"/>
          <w:sz w:val="22"/>
          <w:szCs w:val="22"/>
        </w:rPr>
        <w:t xml:space="preserve">insured by requiring her not to include the medical expense benefits paid to her under the </w:t>
      </w:r>
      <w:r w:rsidR="00077F51" w:rsidRPr="008C4DC3">
        <w:rPr>
          <w:rFonts w:ascii="Calibri" w:hAnsi="Calibri"/>
          <w:sz w:val="22"/>
          <w:szCs w:val="22"/>
        </w:rPr>
        <w:t xml:space="preserve">Med Pay </w:t>
      </w:r>
      <w:r w:rsidR="00437C33" w:rsidRPr="008C4DC3">
        <w:rPr>
          <w:rFonts w:ascii="Calibri" w:hAnsi="Calibri"/>
          <w:sz w:val="22"/>
          <w:szCs w:val="22"/>
        </w:rPr>
        <w:t>coverage in the tort action. Better reasoning holds that an insurer contemplating subro</w:t>
      </w:r>
      <w:r w:rsidR="00077F51" w:rsidRPr="008C4DC3">
        <w:rPr>
          <w:rFonts w:ascii="Calibri" w:hAnsi="Calibri"/>
          <w:sz w:val="22"/>
          <w:szCs w:val="22"/>
        </w:rPr>
        <w:t>gation against its own insured “</w:t>
      </w:r>
      <w:r w:rsidR="00437C33" w:rsidRPr="008C4DC3">
        <w:rPr>
          <w:rFonts w:ascii="Calibri" w:hAnsi="Calibri"/>
          <w:sz w:val="22"/>
          <w:szCs w:val="22"/>
        </w:rPr>
        <w:t>must state such intent in clear and uneq</w:t>
      </w:r>
      <w:r w:rsidR="00077F51" w:rsidRPr="008C4DC3">
        <w:rPr>
          <w:rFonts w:ascii="Calibri" w:hAnsi="Calibri"/>
          <w:sz w:val="22"/>
          <w:szCs w:val="22"/>
        </w:rPr>
        <w:t>uivocal language in the policy.”</w:t>
      </w:r>
      <w:r w:rsidR="00437C33" w:rsidRPr="008C4DC3">
        <w:rPr>
          <w:rFonts w:ascii="Calibri" w:hAnsi="Calibri"/>
          <w:sz w:val="22"/>
          <w:szCs w:val="22"/>
        </w:rPr>
        <w:t xml:space="preserve"> </w:t>
      </w:r>
      <w:r w:rsidR="00886C79" w:rsidRPr="008C4DC3">
        <w:rPr>
          <w:rFonts w:ascii="Calibri" w:hAnsi="Calibri"/>
          <w:sz w:val="22"/>
          <w:szCs w:val="22"/>
        </w:rPr>
        <w:t>This is in contrast with some other states that require the policy to state such an intention in clear and unequivocal language (</w:t>
      </w:r>
      <w:r w:rsidR="00886C79" w:rsidRPr="008C4DC3">
        <w:rPr>
          <w:rFonts w:ascii="Calibri" w:hAnsi="Calibri"/>
          <w:i/>
          <w:sz w:val="22"/>
          <w:szCs w:val="22"/>
        </w:rPr>
        <w:t>e.g.,</w:t>
      </w:r>
      <w:r w:rsidR="00886C79" w:rsidRPr="008C4DC3">
        <w:rPr>
          <w:rFonts w:ascii="Calibri" w:hAnsi="Calibri"/>
          <w:sz w:val="22"/>
          <w:szCs w:val="22"/>
        </w:rPr>
        <w:t xml:space="preserve"> </w:t>
      </w:r>
      <w:r w:rsidR="00886C79" w:rsidRPr="008C4DC3">
        <w:rPr>
          <w:rFonts w:ascii="Calibri" w:hAnsi="Calibri"/>
          <w:i/>
          <w:sz w:val="22"/>
          <w:szCs w:val="22"/>
        </w:rPr>
        <w:t>AGIP Petroleum Co., Inc. v. Gulf Island Fabrication, Inc.,</w:t>
      </w:r>
      <w:r w:rsidR="00886C79" w:rsidRPr="008C4DC3">
        <w:rPr>
          <w:rFonts w:ascii="Calibri" w:hAnsi="Calibri"/>
          <w:sz w:val="22"/>
          <w:szCs w:val="22"/>
        </w:rPr>
        <w:t xml:space="preserve"> 920 F. Supp. 1318 (S.D. Tex. 1996). </w:t>
      </w:r>
      <w:r w:rsidR="00077F51" w:rsidRPr="008C4DC3">
        <w:rPr>
          <w:rFonts w:ascii="Calibri" w:hAnsi="Calibri"/>
          <w:sz w:val="22"/>
          <w:szCs w:val="22"/>
        </w:rPr>
        <w:t xml:space="preserve">In </w:t>
      </w:r>
      <w:r w:rsidR="00CD1A0F" w:rsidRPr="008C4DC3">
        <w:rPr>
          <w:rFonts w:ascii="Calibri" w:hAnsi="Calibri"/>
          <w:i/>
          <w:sz w:val="22"/>
          <w:szCs w:val="22"/>
        </w:rPr>
        <w:t>Maynard</w:t>
      </w:r>
      <w:r w:rsidR="003F5147" w:rsidRPr="008C4DC3">
        <w:rPr>
          <w:rFonts w:ascii="Calibri" w:hAnsi="Calibri"/>
          <w:sz w:val="22"/>
          <w:szCs w:val="22"/>
        </w:rPr>
        <w:t>,</w:t>
      </w:r>
      <w:r w:rsidR="00077F51" w:rsidRPr="008C4DC3">
        <w:rPr>
          <w:rFonts w:ascii="Calibri" w:hAnsi="Calibri"/>
          <w:sz w:val="22"/>
          <w:szCs w:val="22"/>
        </w:rPr>
        <w:t xml:space="preserve"> Maynard was involved in aut</w:t>
      </w:r>
      <w:r w:rsidR="00CD1A0F" w:rsidRPr="008C4DC3">
        <w:rPr>
          <w:rFonts w:ascii="Calibri" w:hAnsi="Calibri"/>
          <w:sz w:val="22"/>
          <w:szCs w:val="22"/>
        </w:rPr>
        <w:t>o accident with Madison and both were separately insured under policies issued by State Farm. After recovering his medical expenses under his own policy, Maynard brought an action to recover the same damages under Madison</w:t>
      </w:r>
      <w:r w:rsidR="00077F51" w:rsidRPr="008C4DC3">
        <w:rPr>
          <w:rFonts w:ascii="Calibri" w:hAnsi="Calibri"/>
          <w:sz w:val="22"/>
          <w:szCs w:val="22"/>
        </w:rPr>
        <w:t>’</w:t>
      </w:r>
      <w:r w:rsidR="00CD1A0F" w:rsidRPr="008C4DC3">
        <w:rPr>
          <w:rFonts w:ascii="Calibri" w:hAnsi="Calibri"/>
          <w:sz w:val="22"/>
          <w:szCs w:val="22"/>
        </w:rPr>
        <w:t xml:space="preserve">s liability policy. The question </w:t>
      </w:r>
      <w:r w:rsidR="008F01AF" w:rsidRPr="008C4DC3">
        <w:rPr>
          <w:rFonts w:ascii="Calibri" w:hAnsi="Calibri"/>
          <w:sz w:val="22"/>
          <w:szCs w:val="22"/>
        </w:rPr>
        <w:t>that</w:t>
      </w:r>
      <w:r w:rsidR="00CD1A0F" w:rsidRPr="008C4DC3">
        <w:rPr>
          <w:rFonts w:ascii="Calibri" w:hAnsi="Calibri"/>
          <w:sz w:val="22"/>
          <w:szCs w:val="22"/>
        </w:rPr>
        <w:t xml:space="preserve"> came up before the Alaska Supreme Court was whether State Farm would be entitled to reimbursement if </w:t>
      </w:r>
      <w:r w:rsidR="00285BF4" w:rsidRPr="008C4DC3">
        <w:rPr>
          <w:rFonts w:ascii="Calibri" w:hAnsi="Calibri"/>
          <w:sz w:val="22"/>
          <w:szCs w:val="22"/>
        </w:rPr>
        <w:t>Maynard</w:t>
      </w:r>
      <w:r w:rsidR="00CD1A0F" w:rsidRPr="008C4DC3">
        <w:rPr>
          <w:rFonts w:ascii="Calibri" w:hAnsi="Calibri"/>
          <w:sz w:val="22"/>
          <w:szCs w:val="22"/>
        </w:rPr>
        <w:t xml:space="preserve"> recovered the same medical expense</w:t>
      </w:r>
      <w:r w:rsidR="00077F51" w:rsidRPr="008C4DC3">
        <w:rPr>
          <w:rFonts w:ascii="Calibri" w:hAnsi="Calibri"/>
          <w:sz w:val="22"/>
          <w:szCs w:val="22"/>
        </w:rPr>
        <w:t>s</w:t>
      </w:r>
      <w:r w:rsidR="00CD1A0F" w:rsidRPr="008C4DC3">
        <w:rPr>
          <w:rFonts w:ascii="Calibri" w:hAnsi="Calibri"/>
          <w:sz w:val="22"/>
          <w:szCs w:val="22"/>
        </w:rPr>
        <w:t xml:space="preserve"> under Madison’s liability coverage. One section of the medical expense provisions of </w:t>
      </w:r>
      <w:r w:rsidR="00285BF4" w:rsidRPr="008C4DC3">
        <w:rPr>
          <w:rFonts w:ascii="Calibri" w:hAnsi="Calibri"/>
          <w:sz w:val="22"/>
          <w:szCs w:val="22"/>
        </w:rPr>
        <w:t>Maynard’s</w:t>
      </w:r>
      <w:r w:rsidR="00CD1A0F" w:rsidRPr="008C4DC3">
        <w:rPr>
          <w:rFonts w:ascii="Calibri" w:hAnsi="Calibri"/>
          <w:sz w:val="22"/>
          <w:szCs w:val="22"/>
        </w:rPr>
        <w:t xml:space="preserve"> policy provided generally that State Farm need not pay any medical expenses for which Madison had already been compensated elsewhere and a second section provided that State Farm would be entitled </w:t>
      </w:r>
      <w:r w:rsidR="00077F51" w:rsidRPr="008C4DC3">
        <w:rPr>
          <w:rFonts w:ascii="Calibri" w:hAnsi="Calibri"/>
          <w:sz w:val="22"/>
          <w:szCs w:val="22"/>
        </w:rPr>
        <w:t>to reimbursement from any third-</w:t>
      </w:r>
      <w:r w:rsidR="00CD1A0F" w:rsidRPr="008C4DC3">
        <w:rPr>
          <w:rFonts w:ascii="Calibri" w:hAnsi="Calibri"/>
          <w:sz w:val="22"/>
          <w:szCs w:val="22"/>
        </w:rPr>
        <w:t>party recovery of medical expense</w:t>
      </w:r>
      <w:r w:rsidR="00077F51" w:rsidRPr="008C4DC3">
        <w:rPr>
          <w:rFonts w:ascii="Calibri" w:hAnsi="Calibri"/>
          <w:sz w:val="22"/>
          <w:szCs w:val="22"/>
        </w:rPr>
        <w:t>s</w:t>
      </w:r>
      <w:r w:rsidR="00CD1A0F" w:rsidRPr="008C4DC3">
        <w:rPr>
          <w:rFonts w:ascii="Calibri" w:hAnsi="Calibri"/>
          <w:sz w:val="22"/>
          <w:szCs w:val="22"/>
        </w:rPr>
        <w:t xml:space="preserve"> paid </w:t>
      </w:r>
      <w:r w:rsidR="00077F51" w:rsidRPr="008C4DC3">
        <w:rPr>
          <w:rFonts w:ascii="Calibri" w:hAnsi="Calibri"/>
          <w:sz w:val="22"/>
          <w:szCs w:val="22"/>
        </w:rPr>
        <w:t xml:space="preserve">to </w:t>
      </w:r>
      <w:r w:rsidR="00CD1A0F" w:rsidRPr="008C4DC3">
        <w:rPr>
          <w:rFonts w:ascii="Calibri" w:hAnsi="Calibri"/>
          <w:sz w:val="22"/>
          <w:szCs w:val="22"/>
        </w:rPr>
        <w:t>Madison under his own policy. The court permitted subrogation, noting that there was an absence of any policy language suggesting that these two provisions did not apply when the carrier insured both parties under separate policies.</w:t>
      </w:r>
    </w:p>
    <w:p w14:paraId="71F8E2E0" w14:textId="77777777" w:rsidR="008E50BE" w:rsidRPr="00197809" w:rsidRDefault="00935406" w:rsidP="003F5147">
      <w:pPr>
        <w:spacing w:before="240" w:after="120"/>
        <w:jc w:val="both"/>
        <w:rPr>
          <w:rFonts w:ascii="Calibri" w:hAnsi="Calibri"/>
          <w:b/>
          <w:color w:val="0F243E"/>
          <w:sz w:val="24"/>
          <w:szCs w:val="24"/>
        </w:rPr>
      </w:pPr>
      <w:r w:rsidRPr="00197809">
        <w:rPr>
          <w:rFonts w:ascii="Calibri" w:hAnsi="Calibri"/>
          <w:b/>
          <w:color w:val="0F243E"/>
          <w:sz w:val="24"/>
          <w:szCs w:val="24"/>
          <w:u w:val="single"/>
        </w:rPr>
        <w:t>ARIZONA</w:t>
      </w:r>
    </w:p>
    <w:p w14:paraId="74249266" w14:textId="77777777" w:rsidR="008E50BE" w:rsidRPr="003F5147" w:rsidRDefault="00856728" w:rsidP="00696E3D">
      <w:pPr>
        <w:spacing w:before="120" w:after="120"/>
        <w:jc w:val="both"/>
        <w:rPr>
          <w:rFonts w:ascii="Calibri" w:hAnsi="Calibri"/>
          <w:sz w:val="22"/>
          <w:szCs w:val="22"/>
        </w:rPr>
      </w:pPr>
      <w:r w:rsidRPr="003F5147">
        <w:rPr>
          <w:rFonts w:ascii="Calibri" w:hAnsi="Calibri"/>
          <w:sz w:val="22"/>
          <w:szCs w:val="22"/>
        </w:rPr>
        <w:t xml:space="preserve">In Arizona, the </w:t>
      </w:r>
      <w:r w:rsidR="008C4DC3">
        <w:rPr>
          <w:rFonts w:ascii="Calibri" w:hAnsi="Calibri"/>
          <w:sz w:val="22"/>
          <w:szCs w:val="22"/>
        </w:rPr>
        <w:t>ASR</w:t>
      </w:r>
      <w:r w:rsidR="00077F51" w:rsidRPr="003F5147">
        <w:rPr>
          <w:rFonts w:ascii="Calibri" w:hAnsi="Calibri"/>
          <w:sz w:val="22"/>
          <w:szCs w:val="22"/>
        </w:rPr>
        <w:t xml:space="preserve"> </w:t>
      </w:r>
      <w:r w:rsidRPr="003F5147">
        <w:rPr>
          <w:rFonts w:ascii="Calibri" w:hAnsi="Calibri"/>
          <w:sz w:val="22"/>
          <w:szCs w:val="22"/>
        </w:rPr>
        <w:t>is often the name g</w:t>
      </w:r>
      <w:r w:rsidR="008C4DC3">
        <w:rPr>
          <w:rFonts w:ascii="Calibri" w:hAnsi="Calibri"/>
          <w:sz w:val="22"/>
          <w:szCs w:val="22"/>
        </w:rPr>
        <w:t>iven</w:t>
      </w:r>
      <w:r w:rsidRPr="003F5147">
        <w:rPr>
          <w:rFonts w:ascii="Calibri" w:hAnsi="Calibri"/>
          <w:sz w:val="22"/>
          <w:szCs w:val="22"/>
        </w:rPr>
        <w:t xml:space="preserve"> to and confused with the common law rule long followed in Arizona, known also as the “</w:t>
      </w:r>
      <w:r w:rsidR="00077F51" w:rsidRPr="003F5147">
        <w:rPr>
          <w:rFonts w:ascii="Calibri" w:hAnsi="Calibri"/>
          <w:sz w:val="22"/>
          <w:szCs w:val="22"/>
        </w:rPr>
        <w:t>Anti-Assignability Rule</w:t>
      </w:r>
      <w:r w:rsidRPr="003F5147">
        <w:rPr>
          <w:rFonts w:ascii="Calibri" w:hAnsi="Calibri"/>
          <w:sz w:val="22"/>
          <w:szCs w:val="22"/>
        </w:rPr>
        <w:t>”, which states that, absent a statute, an assignment of a cause of action for personal injur</w:t>
      </w:r>
      <w:r w:rsidR="00077F51" w:rsidRPr="003F5147">
        <w:rPr>
          <w:rFonts w:ascii="Calibri" w:hAnsi="Calibri"/>
          <w:sz w:val="22"/>
          <w:szCs w:val="22"/>
        </w:rPr>
        <w:t>ies against a third-</w:t>
      </w:r>
      <w:r w:rsidRPr="003F5147">
        <w:rPr>
          <w:rFonts w:ascii="Calibri" w:hAnsi="Calibri"/>
          <w:sz w:val="22"/>
          <w:szCs w:val="22"/>
        </w:rPr>
        <w:t xml:space="preserve">party tortfeasor is void and unenforceable. </w:t>
      </w:r>
      <w:r w:rsidRPr="003F5147">
        <w:rPr>
          <w:rFonts w:ascii="Calibri" w:hAnsi="Calibri"/>
          <w:i/>
          <w:iCs/>
          <w:sz w:val="22"/>
          <w:szCs w:val="22"/>
        </w:rPr>
        <w:t>Harleysville Mutual Ins. Co. v. Lea</w:t>
      </w:r>
      <w:r w:rsidRPr="003F5147">
        <w:rPr>
          <w:rFonts w:ascii="Calibri" w:hAnsi="Calibri"/>
          <w:sz w:val="22"/>
          <w:szCs w:val="22"/>
        </w:rPr>
        <w:t>,</w:t>
      </w:r>
      <w:r w:rsidR="008E50BE" w:rsidRPr="003F5147">
        <w:rPr>
          <w:rFonts w:ascii="Calibri" w:hAnsi="Calibri"/>
          <w:sz w:val="22"/>
          <w:szCs w:val="22"/>
        </w:rPr>
        <w:t xml:space="preserve"> 410 P.2d 495 (Ariz. App. 1966)</w:t>
      </w:r>
      <w:r w:rsidRPr="003F5147">
        <w:rPr>
          <w:rFonts w:ascii="Calibri" w:hAnsi="Calibri"/>
          <w:sz w:val="22"/>
          <w:szCs w:val="22"/>
        </w:rPr>
        <w:t>.</w:t>
      </w:r>
      <w:r w:rsidR="008C4DC3">
        <w:rPr>
          <w:rFonts w:ascii="Calibri" w:hAnsi="Calibri"/>
          <w:sz w:val="22"/>
          <w:szCs w:val="22"/>
        </w:rPr>
        <w:t xml:space="preserve"> </w:t>
      </w:r>
      <w:r w:rsidR="008E50BE" w:rsidRPr="003F5147">
        <w:rPr>
          <w:rFonts w:ascii="Calibri" w:hAnsi="Calibri"/>
          <w:sz w:val="22"/>
          <w:szCs w:val="22"/>
        </w:rPr>
        <w:t xml:space="preserve">Arizona also follows the more traditional </w:t>
      </w:r>
      <w:r w:rsidR="00406E94">
        <w:rPr>
          <w:rFonts w:ascii="Calibri" w:hAnsi="Calibri"/>
          <w:sz w:val="22"/>
          <w:szCs w:val="22"/>
        </w:rPr>
        <w:t>ASR</w:t>
      </w:r>
      <w:r w:rsidR="00077F51" w:rsidRPr="003F5147">
        <w:rPr>
          <w:rFonts w:ascii="Calibri" w:hAnsi="Calibri"/>
          <w:sz w:val="22"/>
          <w:szCs w:val="22"/>
        </w:rPr>
        <w:t xml:space="preserve"> </w:t>
      </w:r>
      <w:r w:rsidR="008E50BE" w:rsidRPr="003F5147">
        <w:rPr>
          <w:rFonts w:ascii="Calibri" w:hAnsi="Calibri"/>
          <w:sz w:val="22"/>
          <w:szCs w:val="22"/>
        </w:rPr>
        <w:t>– an insurer cannot subrogate against its own insured to assert the claim of its named insured</w:t>
      </w:r>
      <w:r w:rsidR="008C4DC3">
        <w:rPr>
          <w:rFonts w:ascii="Calibri" w:hAnsi="Calibri"/>
          <w:sz w:val="22"/>
          <w:szCs w:val="22"/>
        </w:rPr>
        <w:t xml:space="preserve">, </w:t>
      </w:r>
      <w:r w:rsidR="008E50BE" w:rsidRPr="003F5147">
        <w:rPr>
          <w:rFonts w:ascii="Calibri" w:hAnsi="Calibri"/>
          <w:sz w:val="22"/>
          <w:szCs w:val="22"/>
        </w:rPr>
        <w:t xml:space="preserve">even though it doesn’t often refer to it by that name. </w:t>
      </w:r>
      <w:r w:rsidR="008E50BE" w:rsidRPr="003F5147">
        <w:rPr>
          <w:rFonts w:ascii="Calibri" w:hAnsi="Calibri"/>
          <w:i/>
          <w:sz w:val="22"/>
          <w:szCs w:val="22"/>
        </w:rPr>
        <w:t xml:space="preserve">Transp. </w:t>
      </w:r>
      <w:proofErr w:type="spellStart"/>
      <w:r w:rsidR="008E50BE" w:rsidRPr="003F5147">
        <w:rPr>
          <w:rFonts w:ascii="Calibri" w:hAnsi="Calibri"/>
          <w:i/>
          <w:sz w:val="22"/>
          <w:szCs w:val="22"/>
        </w:rPr>
        <w:t>Indem</w:t>
      </w:r>
      <w:proofErr w:type="spellEnd"/>
      <w:r w:rsidR="008E50BE" w:rsidRPr="003F5147">
        <w:rPr>
          <w:rFonts w:ascii="Calibri" w:hAnsi="Calibri"/>
          <w:i/>
          <w:sz w:val="22"/>
          <w:szCs w:val="22"/>
        </w:rPr>
        <w:t>. Co. v. Carolina Cas. Ins. Co</w:t>
      </w:r>
      <w:r w:rsidR="008E50BE" w:rsidRPr="003F5147">
        <w:rPr>
          <w:rFonts w:ascii="Calibri" w:hAnsi="Calibri"/>
          <w:sz w:val="22"/>
          <w:szCs w:val="22"/>
        </w:rPr>
        <w:t>., 652 P.2d 134 (Ariz. 1982). An entity that is an insured under the liability portion of an auto policy and</w:t>
      </w:r>
      <w:r w:rsidR="00077F51" w:rsidRPr="003F5147">
        <w:rPr>
          <w:rFonts w:ascii="Calibri" w:hAnsi="Calibri"/>
          <w:sz w:val="22"/>
          <w:szCs w:val="22"/>
        </w:rPr>
        <w:t>,</w:t>
      </w:r>
      <w:r w:rsidR="008E50BE" w:rsidRPr="003F5147">
        <w:rPr>
          <w:rFonts w:ascii="Calibri" w:hAnsi="Calibri"/>
          <w:sz w:val="22"/>
          <w:szCs w:val="22"/>
        </w:rPr>
        <w:t xml:space="preserve"> therefore</w:t>
      </w:r>
      <w:r w:rsidR="00077F51" w:rsidRPr="003F5147">
        <w:rPr>
          <w:rFonts w:ascii="Calibri" w:hAnsi="Calibri"/>
          <w:sz w:val="22"/>
          <w:szCs w:val="22"/>
        </w:rPr>
        <w:t>,</w:t>
      </w:r>
      <w:r w:rsidR="008E50BE" w:rsidRPr="003F5147">
        <w:rPr>
          <w:rFonts w:ascii="Calibri" w:hAnsi="Calibri"/>
          <w:sz w:val="22"/>
          <w:szCs w:val="22"/>
        </w:rPr>
        <w:t xml:space="preserve"> protected by the ASR for claims under the liability policy, can still be subrogated against under the collision portion of the policy. </w:t>
      </w:r>
      <w:proofErr w:type="spellStart"/>
      <w:r w:rsidR="008E50BE" w:rsidRPr="003F5147">
        <w:rPr>
          <w:rFonts w:ascii="Calibri" w:hAnsi="Calibri"/>
          <w:i/>
          <w:sz w:val="22"/>
          <w:szCs w:val="22"/>
        </w:rPr>
        <w:t>KnightBrook</w:t>
      </w:r>
      <w:proofErr w:type="spellEnd"/>
      <w:r w:rsidR="008E50BE" w:rsidRPr="003F5147">
        <w:rPr>
          <w:rFonts w:ascii="Calibri" w:hAnsi="Calibri"/>
          <w:i/>
          <w:sz w:val="22"/>
          <w:szCs w:val="22"/>
        </w:rPr>
        <w:t xml:space="preserve"> Ins. Co. v. Payless Car Rental Sys., Inc.</w:t>
      </w:r>
      <w:r w:rsidR="008E50BE" w:rsidRPr="003F5147">
        <w:rPr>
          <w:rFonts w:ascii="Calibri" w:hAnsi="Calibri"/>
          <w:sz w:val="22"/>
          <w:szCs w:val="22"/>
        </w:rPr>
        <w:t xml:space="preserve">, 2015 WL 1754685 (D. Ariz. 2015). An individual hired to transport a vehicle is not an “insured” under the vehicle owner’s auto policy collision coverage, meaning that subrogation against the hired individual is permitted. </w:t>
      </w:r>
      <w:r w:rsidR="008E50BE" w:rsidRPr="003F5147">
        <w:rPr>
          <w:rFonts w:ascii="Calibri" w:hAnsi="Calibri"/>
          <w:i/>
          <w:sz w:val="22"/>
          <w:szCs w:val="22"/>
        </w:rPr>
        <w:t>Amica Mut. Ins. Co. v. Auto Driveaway Co.</w:t>
      </w:r>
      <w:r w:rsidR="008E50BE" w:rsidRPr="003F5147">
        <w:rPr>
          <w:rFonts w:ascii="Calibri" w:hAnsi="Calibri"/>
          <w:sz w:val="22"/>
          <w:szCs w:val="22"/>
        </w:rPr>
        <w:t>, 831 P.2d 882 (Ariz. App. 1992). Where a policy expressly limits coverage to the named dealership, an individual who borrows the vehicle from a dealership is not an insured under the dealership</w:t>
      </w:r>
      <w:r w:rsidR="00077F51" w:rsidRPr="003F5147">
        <w:rPr>
          <w:rFonts w:ascii="Calibri" w:hAnsi="Calibri"/>
          <w:sz w:val="22"/>
          <w:szCs w:val="22"/>
        </w:rPr>
        <w:t>’</w:t>
      </w:r>
      <w:r w:rsidR="008E50BE" w:rsidRPr="003F5147">
        <w:rPr>
          <w:rFonts w:ascii="Calibri" w:hAnsi="Calibri"/>
          <w:sz w:val="22"/>
          <w:szCs w:val="22"/>
        </w:rPr>
        <w:t xml:space="preserve">s collision policy, even if the policy extends coverage to the borrowed vehicle. </w:t>
      </w:r>
      <w:r w:rsidR="008E50BE" w:rsidRPr="003F5147">
        <w:rPr>
          <w:rFonts w:ascii="Calibri" w:hAnsi="Calibri"/>
          <w:i/>
          <w:sz w:val="22"/>
          <w:szCs w:val="22"/>
        </w:rPr>
        <w:t>Highlands Ins. Co. v. Fischer</w:t>
      </w:r>
      <w:r w:rsidR="008E50BE" w:rsidRPr="003F5147">
        <w:rPr>
          <w:rFonts w:ascii="Calibri" w:hAnsi="Calibri"/>
          <w:sz w:val="22"/>
          <w:szCs w:val="22"/>
        </w:rPr>
        <w:t>, 595 P.2d 186 (Ariz. App. 1979).</w:t>
      </w:r>
      <w:r w:rsidR="008C4DC3">
        <w:rPr>
          <w:rFonts w:ascii="Calibri" w:hAnsi="Calibri"/>
          <w:sz w:val="22"/>
          <w:szCs w:val="22"/>
        </w:rPr>
        <w:t xml:space="preserve"> </w:t>
      </w:r>
      <w:r w:rsidR="00077F51" w:rsidRPr="003F5147">
        <w:rPr>
          <w:rFonts w:ascii="Calibri" w:hAnsi="Calibri"/>
          <w:sz w:val="22"/>
          <w:szCs w:val="22"/>
        </w:rPr>
        <w:t xml:space="preserve">In </w:t>
      </w:r>
      <w:r w:rsidR="008E50BE" w:rsidRPr="003F5147">
        <w:rPr>
          <w:rFonts w:ascii="Calibri" w:hAnsi="Calibri"/>
          <w:i/>
          <w:sz w:val="22"/>
          <w:szCs w:val="22"/>
        </w:rPr>
        <w:t>Auto Driveaway Co.</w:t>
      </w:r>
      <w:r w:rsidR="008E50BE" w:rsidRPr="003F5147">
        <w:rPr>
          <w:rFonts w:ascii="Calibri" w:hAnsi="Calibri"/>
          <w:sz w:val="22"/>
          <w:szCs w:val="22"/>
        </w:rPr>
        <w:t xml:space="preserve">, </w:t>
      </w:r>
      <w:r w:rsidR="003F5147" w:rsidRPr="003F5147">
        <w:rPr>
          <w:rFonts w:ascii="Calibri" w:hAnsi="Calibri"/>
          <w:sz w:val="22"/>
          <w:szCs w:val="22"/>
        </w:rPr>
        <w:t>a shipper’</w:t>
      </w:r>
      <w:r w:rsidR="008E50BE" w:rsidRPr="003F5147">
        <w:rPr>
          <w:rFonts w:ascii="Calibri" w:hAnsi="Calibri"/>
          <w:sz w:val="22"/>
          <w:szCs w:val="22"/>
        </w:rPr>
        <w:t>s insurer sued a common carrier, seeking reimbursement of money the insurer paid to the shipper for damage to her auto which occurred while it was being transported by a driver hired by the common carrier. The trial court entered summary judgment for</w:t>
      </w:r>
      <w:r w:rsidR="008C4DC3">
        <w:rPr>
          <w:rFonts w:ascii="Calibri" w:hAnsi="Calibri"/>
          <w:sz w:val="22"/>
          <w:szCs w:val="22"/>
        </w:rPr>
        <w:t xml:space="preserve"> the</w:t>
      </w:r>
      <w:r w:rsidR="008E50BE" w:rsidRPr="003F5147">
        <w:rPr>
          <w:rFonts w:ascii="Calibri" w:hAnsi="Calibri"/>
          <w:sz w:val="22"/>
          <w:szCs w:val="22"/>
        </w:rPr>
        <w:t xml:space="preserve"> insurer and the carrier appealed. The Court of Appeals held that the driver of vehicle was not an “insured” under </w:t>
      </w:r>
      <w:r w:rsidR="003F5147" w:rsidRPr="003F5147">
        <w:rPr>
          <w:rFonts w:ascii="Calibri" w:hAnsi="Calibri"/>
          <w:sz w:val="22"/>
          <w:szCs w:val="22"/>
        </w:rPr>
        <w:t xml:space="preserve">the </w:t>
      </w:r>
      <w:r w:rsidR="008E50BE" w:rsidRPr="003F5147">
        <w:rPr>
          <w:rFonts w:ascii="Calibri" w:hAnsi="Calibri"/>
          <w:sz w:val="22"/>
          <w:szCs w:val="22"/>
        </w:rPr>
        <w:t>auto collision policy, therefore, the shipper</w:t>
      </w:r>
      <w:r w:rsidR="003F5147" w:rsidRPr="003F5147">
        <w:rPr>
          <w:rFonts w:ascii="Calibri" w:hAnsi="Calibri"/>
          <w:sz w:val="22"/>
          <w:szCs w:val="22"/>
        </w:rPr>
        <w:t>’</w:t>
      </w:r>
      <w:r w:rsidR="008E50BE" w:rsidRPr="003F5147">
        <w:rPr>
          <w:rFonts w:ascii="Calibri" w:hAnsi="Calibri"/>
          <w:sz w:val="22"/>
          <w:szCs w:val="22"/>
        </w:rPr>
        <w:t>s insurer could subrogate against the common carrier.</w:t>
      </w:r>
      <w:r w:rsidR="008C4DC3">
        <w:rPr>
          <w:rFonts w:ascii="Calibri" w:hAnsi="Calibri"/>
          <w:sz w:val="22"/>
          <w:szCs w:val="22"/>
        </w:rPr>
        <w:t xml:space="preserve"> </w:t>
      </w:r>
      <w:r w:rsidR="003F5147" w:rsidRPr="003F5147">
        <w:rPr>
          <w:rFonts w:ascii="Calibri" w:hAnsi="Calibri"/>
          <w:sz w:val="22"/>
          <w:szCs w:val="22"/>
        </w:rPr>
        <w:t xml:space="preserve">In </w:t>
      </w:r>
      <w:r w:rsidR="008E50BE" w:rsidRPr="003F5147">
        <w:rPr>
          <w:rFonts w:ascii="Calibri" w:hAnsi="Calibri"/>
          <w:i/>
          <w:sz w:val="22"/>
          <w:szCs w:val="22"/>
        </w:rPr>
        <w:t>Fischer</w:t>
      </w:r>
      <w:r w:rsidR="008E50BE" w:rsidRPr="003F5147">
        <w:rPr>
          <w:rFonts w:ascii="Calibri" w:hAnsi="Calibri"/>
          <w:sz w:val="22"/>
          <w:szCs w:val="22"/>
        </w:rPr>
        <w:t xml:space="preserve">, </w:t>
      </w:r>
      <w:r w:rsidR="003F5147" w:rsidRPr="003F5147">
        <w:rPr>
          <w:rFonts w:ascii="Calibri" w:hAnsi="Calibri"/>
          <w:sz w:val="22"/>
          <w:szCs w:val="22"/>
        </w:rPr>
        <w:t>the de</w:t>
      </w:r>
      <w:r w:rsidR="008E50BE" w:rsidRPr="003F5147">
        <w:rPr>
          <w:rFonts w:ascii="Calibri" w:hAnsi="Calibri"/>
          <w:sz w:val="22"/>
          <w:szCs w:val="22"/>
        </w:rPr>
        <w:t xml:space="preserve">fendants contracted with a dealership to pay the market value of a substitute vehicle if it were destroyed, and subsequently received a substitute vehicle while their vehicle was repaired. The substitute vehicle was subsequently destroyed in an accident and the Court ruled that the dealership’s collision insurer could subrogate against the defendants because the dealership’s policy expressly limited coverage to the named insured on the policy and the defendants were not </w:t>
      </w:r>
      <w:r w:rsidR="003F5147" w:rsidRPr="003F5147">
        <w:rPr>
          <w:rFonts w:ascii="Calibri" w:hAnsi="Calibri"/>
          <w:sz w:val="22"/>
          <w:szCs w:val="22"/>
        </w:rPr>
        <w:t xml:space="preserve">the </w:t>
      </w:r>
      <w:r w:rsidR="008E50BE" w:rsidRPr="003F5147">
        <w:rPr>
          <w:rFonts w:ascii="Calibri" w:hAnsi="Calibri"/>
          <w:sz w:val="22"/>
          <w:szCs w:val="22"/>
        </w:rPr>
        <w:t>named insured</w:t>
      </w:r>
      <w:r w:rsidR="003F5147" w:rsidRPr="003F5147">
        <w:rPr>
          <w:rFonts w:ascii="Calibri" w:hAnsi="Calibri"/>
          <w:sz w:val="22"/>
          <w:szCs w:val="22"/>
        </w:rPr>
        <w:t>s</w:t>
      </w:r>
      <w:r w:rsidR="008E50BE" w:rsidRPr="003F5147">
        <w:rPr>
          <w:rFonts w:ascii="Calibri" w:hAnsi="Calibri"/>
          <w:sz w:val="22"/>
          <w:szCs w:val="22"/>
        </w:rPr>
        <w:t xml:space="preserve"> despite the coverage being extended to substitute vehicles. </w:t>
      </w:r>
    </w:p>
    <w:p w14:paraId="3A1149F7" w14:textId="77777777" w:rsidR="008E50BE" w:rsidRPr="00197809" w:rsidRDefault="00935406" w:rsidP="003F5147">
      <w:pPr>
        <w:spacing w:before="240" w:after="120"/>
        <w:jc w:val="both"/>
        <w:rPr>
          <w:rFonts w:ascii="Calibri" w:hAnsi="Calibri"/>
          <w:b/>
          <w:color w:val="0F243E"/>
          <w:sz w:val="24"/>
          <w:szCs w:val="24"/>
        </w:rPr>
      </w:pPr>
      <w:r w:rsidRPr="00197809">
        <w:rPr>
          <w:rFonts w:ascii="Calibri" w:hAnsi="Calibri"/>
          <w:b/>
          <w:color w:val="0F243E"/>
          <w:sz w:val="24"/>
          <w:szCs w:val="24"/>
          <w:u w:val="single"/>
        </w:rPr>
        <w:t>ARKANSAS</w:t>
      </w:r>
    </w:p>
    <w:p w14:paraId="444F6CC3" w14:textId="77777777" w:rsidR="008E50BE" w:rsidRPr="00EC7ABF" w:rsidRDefault="008E50BE" w:rsidP="00696E3D">
      <w:pPr>
        <w:spacing w:before="120" w:after="120"/>
        <w:jc w:val="both"/>
        <w:rPr>
          <w:rFonts w:ascii="Calibri" w:hAnsi="Calibri"/>
          <w:b/>
          <w:i/>
          <w:sz w:val="22"/>
          <w:szCs w:val="22"/>
        </w:rPr>
      </w:pPr>
      <w:r w:rsidRPr="00EE06F4">
        <w:rPr>
          <w:rFonts w:ascii="Calibri" w:hAnsi="Calibri"/>
          <w:sz w:val="22"/>
          <w:szCs w:val="22"/>
        </w:rPr>
        <w:t>An insurance company</w:t>
      </w:r>
      <w:r w:rsidRPr="00EC7ABF">
        <w:rPr>
          <w:rFonts w:ascii="Calibri" w:hAnsi="Calibri"/>
          <w:sz w:val="22"/>
          <w:szCs w:val="22"/>
        </w:rPr>
        <w:t xml:space="preserve"> may not subrogate against its own insured or a co-insured</w:t>
      </w:r>
      <w:r w:rsidR="00406E94">
        <w:rPr>
          <w:rFonts w:ascii="Calibri" w:hAnsi="Calibri"/>
          <w:sz w:val="22"/>
          <w:szCs w:val="22"/>
        </w:rPr>
        <w:t>.</w:t>
      </w:r>
      <w:r w:rsidRPr="00EC7ABF">
        <w:rPr>
          <w:rFonts w:ascii="Calibri" w:hAnsi="Calibri"/>
          <w:sz w:val="22"/>
          <w:szCs w:val="22"/>
        </w:rPr>
        <w:t xml:space="preserve"> </w:t>
      </w:r>
      <w:r w:rsidR="00406E94">
        <w:rPr>
          <w:rFonts w:ascii="Calibri" w:hAnsi="Calibri"/>
          <w:sz w:val="22"/>
          <w:szCs w:val="22"/>
        </w:rPr>
        <w:t>H</w:t>
      </w:r>
      <w:r w:rsidRPr="00EC7ABF">
        <w:rPr>
          <w:rFonts w:ascii="Calibri" w:hAnsi="Calibri"/>
          <w:sz w:val="22"/>
          <w:szCs w:val="22"/>
        </w:rPr>
        <w:t xml:space="preserve">owever, when a party claiming to be a co-insured is merely a loss payee to which no liability coverage is afforded, subrogation is permissible. </w:t>
      </w:r>
      <w:r w:rsidR="00116F53" w:rsidRPr="00EC7ABF">
        <w:rPr>
          <w:rFonts w:ascii="Calibri" w:hAnsi="Calibri"/>
          <w:i/>
          <w:sz w:val="22"/>
          <w:szCs w:val="22"/>
        </w:rPr>
        <w:t>Dalrymple v. Royal-</w:t>
      </w:r>
      <w:r w:rsidRPr="00EC7ABF">
        <w:rPr>
          <w:rFonts w:ascii="Calibri" w:hAnsi="Calibri"/>
          <w:i/>
          <w:sz w:val="22"/>
          <w:szCs w:val="22"/>
        </w:rPr>
        <w:t>Globe Ins. Co.</w:t>
      </w:r>
      <w:r w:rsidRPr="00EC7ABF">
        <w:rPr>
          <w:rFonts w:ascii="Calibri" w:hAnsi="Calibri"/>
          <w:sz w:val="22"/>
          <w:szCs w:val="22"/>
        </w:rPr>
        <w:t xml:space="preserve">, 659 S.W.2d 938 (Ark. 1983). A permissive vehicle user, who is a co-insured under the liability section of a policy, can still be subrogated against under the collision portion of a policy, depending on the exact terms of the policy. </w:t>
      </w:r>
      <w:r w:rsidRPr="00EC7ABF">
        <w:rPr>
          <w:rFonts w:ascii="Calibri" w:hAnsi="Calibri"/>
          <w:i/>
          <w:sz w:val="22"/>
          <w:szCs w:val="22"/>
        </w:rPr>
        <w:t>Gardner v. Baker</w:t>
      </w:r>
      <w:r w:rsidRPr="00EC7ABF">
        <w:rPr>
          <w:rFonts w:ascii="Calibri" w:hAnsi="Calibri"/>
          <w:sz w:val="22"/>
          <w:szCs w:val="22"/>
        </w:rPr>
        <w:t xml:space="preserve">, </w:t>
      </w:r>
      <w:r w:rsidR="00116F53" w:rsidRPr="00EC7ABF">
        <w:rPr>
          <w:rFonts w:ascii="Calibri" w:hAnsi="Calibri"/>
          <w:sz w:val="22"/>
          <w:szCs w:val="22"/>
        </w:rPr>
        <w:t>1986 WL 1632 (Ark. App. 1986) (</w:t>
      </w:r>
      <w:r w:rsidR="00116F53" w:rsidRPr="00EC7ABF">
        <w:rPr>
          <w:rFonts w:ascii="Calibri" w:hAnsi="Calibri"/>
          <w:i/>
          <w:sz w:val="22"/>
          <w:szCs w:val="22"/>
        </w:rPr>
        <w:t>u</w:t>
      </w:r>
      <w:r w:rsidRPr="00EC7ABF">
        <w:rPr>
          <w:rFonts w:ascii="Calibri" w:hAnsi="Calibri"/>
          <w:i/>
          <w:sz w:val="22"/>
          <w:szCs w:val="22"/>
        </w:rPr>
        <w:t>npublished</w:t>
      </w:r>
      <w:r w:rsidRPr="00EC7ABF">
        <w:rPr>
          <w:rFonts w:ascii="Calibri" w:hAnsi="Calibri"/>
          <w:sz w:val="22"/>
          <w:szCs w:val="22"/>
        </w:rPr>
        <w:t>). Where an insured is required by contract or lease to carry insurance for the benefit of another, the other party may attain the status of co</w:t>
      </w:r>
      <w:r w:rsidR="00116F53" w:rsidRPr="00EC7ABF">
        <w:rPr>
          <w:rFonts w:ascii="Calibri" w:hAnsi="Calibri"/>
          <w:sz w:val="22"/>
          <w:szCs w:val="22"/>
        </w:rPr>
        <w:t>-</w:t>
      </w:r>
      <w:r w:rsidRPr="00EC7ABF">
        <w:rPr>
          <w:rFonts w:ascii="Calibri" w:hAnsi="Calibri"/>
          <w:sz w:val="22"/>
          <w:szCs w:val="22"/>
        </w:rPr>
        <w:t xml:space="preserve">insured such that no subrogation may be taken against that party. </w:t>
      </w:r>
      <w:r w:rsidRPr="00EC7ABF">
        <w:rPr>
          <w:rFonts w:ascii="Calibri" w:hAnsi="Calibri"/>
          <w:i/>
          <w:sz w:val="22"/>
          <w:szCs w:val="22"/>
        </w:rPr>
        <w:t xml:space="preserve">Page v. Scott, </w:t>
      </w:r>
      <w:r w:rsidRPr="00EC7ABF">
        <w:rPr>
          <w:rFonts w:ascii="Calibri" w:hAnsi="Calibri"/>
          <w:sz w:val="22"/>
          <w:szCs w:val="22"/>
        </w:rPr>
        <w:t>567 S.W.2d 101 (1978).</w:t>
      </w:r>
      <w:r w:rsidR="008C4DC3">
        <w:rPr>
          <w:rFonts w:ascii="Calibri" w:hAnsi="Calibri"/>
          <w:sz w:val="22"/>
          <w:szCs w:val="22"/>
        </w:rPr>
        <w:t xml:space="preserve"> </w:t>
      </w:r>
      <w:r w:rsidR="00116F53" w:rsidRPr="00EC7ABF">
        <w:rPr>
          <w:rFonts w:ascii="Calibri" w:hAnsi="Calibri"/>
          <w:sz w:val="22"/>
          <w:szCs w:val="22"/>
        </w:rPr>
        <w:t xml:space="preserve">In </w:t>
      </w:r>
      <w:r w:rsidR="00116F53" w:rsidRPr="00EC7ABF">
        <w:rPr>
          <w:rFonts w:ascii="Calibri" w:hAnsi="Calibri"/>
          <w:i/>
          <w:sz w:val="22"/>
          <w:szCs w:val="22"/>
        </w:rPr>
        <w:t>Dalrymple</w:t>
      </w:r>
      <w:r w:rsidRPr="00EC7ABF">
        <w:rPr>
          <w:rFonts w:ascii="Calibri" w:hAnsi="Calibri"/>
          <w:sz w:val="22"/>
          <w:szCs w:val="22"/>
        </w:rPr>
        <w:t>, Dalrymple sold some apartments to Ross with the condition that Ross must obtain hazard insurance for the property and that Dalrymple must be listed as a loss payee on the insurance. Ross bought a hazard insurance policy from Royal-Globe Insurance. Faulty wiring caused a fire in one of the insured apartments and Royal-Globe paid Ross and Dalrymple for their loss. Royal-Globe initiated a subrogation action against Dalrymple on behalf of the tenants of the damaged apartment and Dalrymple argued that he was a co-insured under Ross’ hazard insurance policy and</w:t>
      </w:r>
      <w:r w:rsidR="00EC7ABF" w:rsidRPr="00EC7ABF">
        <w:rPr>
          <w:rFonts w:ascii="Calibri" w:hAnsi="Calibri"/>
          <w:sz w:val="22"/>
          <w:szCs w:val="22"/>
        </w:rPr>
        <w:t>,</w:t>
      </w:r>
      <w:r w:rsidRPr="00EC7ABF">
        <w:rPr>
          <w:rFonts w:ascii="Calibri" w:hAnsi="Calibri"/>
          <w:sz w:val="22"/>
          <w:szCs w:val="22"/>
        </w:rPr>
        <w:t xml:space="preserve"> therefore</w:t>
      </w:r>
      <w:r w:rsidR="00EC7ABF" w:rsidRPr="00EC7ABF">
        <w:rPr>
          <w:rFonts w:ascii="Calibri" w:hAnsi="Calibri"/>
          <w:sz w:val="22"/>
          <w:szCs w:val="22"/>
        </w:rPr>
        <w:t xml:space="preserve">, he was protected by the ASR. </w:t>
      </w:r>
      <w:r w:rsidR="008C4DC3">
        <w:rPr>
          <w:rFonts w:ascii="Calibri" w:hAnsi="Calibri"/>
          <w:sz w:val="22"/>
          <w:szCs w:val="22"/>
        </w:rPr>
        <w:t>The c</w:t>
      </w:r>
      <w:r w:rsidRPr="00EC7ABF">
        <w:rPr>
          <w:rFonts w:ascii="Calibri" w:hAnsi="Calibri"/>
          <w:sz w:val="22"/>
          <w:szCs w:val="22"/>
        </w:rPr>
        <w:t>ourt ruled that the policy in no way afforded a loss</w:t>
      </w:r>
      <w:r w:rsidR="00EC7ABF" w:rsidRPr="00EC7ABF">
        <w:rPr>
          <w:rFonts w:ascii="Calibri" w:hAnsi="Calibri"/>
          <w:sz w:val="22"/>
          <w:szCs w:val="22"/>
        </w:rPr>
        <w:t>-payee any liability protection</w:t>
      </w:r>
      <w:r w:rsidRPr="00EC7ABF">
        <w:rPr>
          <w:rFonts w:ascii="Calibri" w:hAnsi="Calibri"/>
          <w:sz w:val="22"/>
          <w:szCs w:val="22"/>
        </w:rPr>
        <w:t xml:space="preserve"> and</w:t>
      </w:r>
      <w:r w:rsidR="00EC7ABF" w:rsidRPr="00EC7ABF">
        <w:rPr>
          <w:rFonts w:ascii="Calibri" w:hAnsi="Calibri"/>
          <w:sz w:val="22"/>
          <w:szCs w:val="22"/>
        </w:rPr>
        <w:t>,</w:t>
      </w:r>
      <w:r w:rsidRPr="00EC7ABF">
        <w:rPr>
          <w:rFonts w:ascii="Calibri" w:hAnsi="Calibri"/>
          <w:sz w:val="22"/>
          <w:szCs w:val="22"/>
        </w:rPr>
        <w:t xml:space="preserve"> therefore, although Dalrymple could collect for the loss, he could also be subrogated against for that same loss.</w:t>
      </w:r>
      <w:r w:rsidR="008C4DC3">
        <w:rPr>
          <w:rFonts w:ascii="Calibri" w:hAnsi="Calibri"/>
          <w:sz w:val="22"/>
          <w:szCs w:val="22"/>
        </w:rPr>
        <w:t xml:space="preserve"> </w:t>
      </w:r>
      <w:r w:rsidR="00EC7ABF" w:rsidRPr="00EC7ABF">
        <w:rPr>
          <w:rFonts w:ascii="Calibri" w:hAnsi="Calibri"/>
          <w:sz w:val="22"/>
          <w:szCs w:val="22"/>
        </w:rPr>
        <w:t xml:space="preserve">In </w:t>
      </w:r>
      <w:r w:rsidRPr="00EC7ABF">
        <w:rPr>
          <w:rFonts w:ascii="Calibri" w:hAnsi="Calibri"/>
          <w:i/>
          <w:sz w:val="22"/>
          <w:szCs w:val="22"/>
        </w:rPr>
        <w:t>Gardner</w:t>
      </w:r>
      <w:r w:rsidRPr="00EC7ABF">
        <w:rPr>
          <w:rFonts w:ascii="Calibri" w:hAnsi="Calibri"/>
          <w:sz w:val="22"/>
          <w:szCs w:val="22"/>
        </w:rPr>
        <w:t>,</w:t>
      </w:r>
      <w:r w:rsidRPr="00EC7ABF">
        <w:rPr>
          <w:rFonts w:ascii="Calibri" w:hAnsi="Calibri"/>
          <w:i/>
          <w:sz w:val="22"/>
          <w:szCs w:val="22"/>
        </w:rPr>
        <w:t xml:space="preserve"> </w:t>
      </w:r>
      <w:r w:rsidRPr="00EC7ABF">
        <w:rPr>
          <w:rFonts w:ascii="Calibri" w:hAnsi="Calibri"/>
          <w:sz w:val="22"/>
          <w:szCs w:val="22"/>
        </w:rPr>
        <w:t>Baker dropped off her car at a gas stat</w:t>
      </w:r>
      <w:r w:rsidR="00EC7ABF" w:rsidRPr="00EC7ABF">
        <w:rPr>
          <w:rFonts w:ascii="Calibri" w:hAnsi="Calibri"/>
          <w:sz w:val="22"/>
          <w:szCs w:val="22"/>
        </w:rPr>
        <w:t>ion so that it could be washed.</w:t>
      </w:r>
      <w:r w:rsidRPr="00EC7ABF">
        <w:rPr>
          <w:rFonts w:ascii="Calibri" w:hAnsi="Calibri"/>
          <w:sz w:val="22"/>
          <w:szCs w:val="22"/>
        </w:rPr>
        <w:t xml:space="preserve"> Gardner offered to drive the car back to Baker’s home after the wash was completed and Baker agreed. Gardner crashed the car on the way to Baker’s home. Shelter Insurance Company, Baker’s car insurance company, sought to subrogate against Gardner for the damage done to Baker’s car. Gardner argued that he was protected by the ASR because as a permissive user of the vehicle, he was entitled to co-insured status under Baker’s auto insurance policy. The court reasoned that the term “insured” has no fixed meaning in the policy. Under the liability portion of the policy, a permissive user was an “insured.” However, under the collision portion, which protects the “insured vehicle”, there was no definition of “insured” because the focus is upon autos rather than persons. “You” and “your,” however, are defined as the “insured named in the Declaration,” which in this case w</w:t>
      </w:r>
      <w:r w:rsidR="00EC7ABF" w:rsidRPr="00EC7ABF">
        <w:rPr>
          <w:rFonts w:ascii="Calibri" w:hAnsi="Calibri"/>
          <w:sz w:val="22"/>
          <w:szCs w:val="22"/>
        </w:rPr>
        <w:t>as</w:t>
      </w:r>
      <w:r w:rsidRPr="00EC7ABF">
        <w:rPr>
          <w:rFonts w:ascii="Calibri" w:hAnsi="Calibri"/>
          <w:sz w:val="22"/>
          <w:szCs w:val="22"/>
        </w:rPr>
        <w:t xml:space="preserve"> the owner/insured and not the permissive user</w:t>
      </w:r>
      <w:r w:rsidR="00EE06F4">
        <w:rPr>
          <w:rFonts w:ascii="Calibri" w:hAnsi="Calibri"/>
          <w:sz w:val="22"/>
          <w:szCs w:val="22"/>
        </w:rPr>
        <w:t xml:space="preserve"> and s</w:t>
      </w:r>
      <w:r w:rsidRPr="00EC7ABF">
        <w:rPr>
          <w:rFonts w:ascii="Calibri" w:hAnsi="Calibri"/>
          <w:sz w:val="22"/>
          <w:szCs w:val="22"/>
        </w:rPr>
        <w:t>ubrogation was allowed.</w:t>
      </w:r>
      <w:r w:rsidRPr="00EC7ABF">
        <w:rPr>
          <w:rFonts w:ascii="Calibri" w:hAnsi="Calibri"/>
          <w:i/>
          <w:sz w:val="22"/>
          <w:szCs w:val="22"/>
        </w:rPr>
        <w:t xml:space="preserve"> </w:t>
      </w:r>
    </w:p>
    <w:p w14:paraId="360C3B20" w14:textId="77777777" w:rsidR="004130FD" w:rsidRPr="00197809" w:rsidRDefault="00935406" w:rsidP="00EC7ABF">
      <w:pPr>
        <w:spacing w:before="240" w:after="120"/>
        <w:jc w:val="both"/>
        <w:rPr>
          <w:rFonts w:ascii="Calibri" w:hAnsi="Calibri"/>
          <w:b/>
          <w:color w:val="0F243E"/>
          <w:sz w:val="24"/>
          <w:szCs w:val="24"/>
        </w:rPr>
      </w:pPr>
      <w:r w:rsidRPr="00197809">
        <w:rPr>
          <w:rFonts w:ascii="Calibri" w:hAnsi="Calibri"/>
          <w:b/>
          <w:color w:val="0F243E"/>
          <w:sz w:val="24"/>
          <w:szCs w:val="24"/>
          <w:u w:val="single"/>
        </w:rPr>
        <w:t>CALIFORNIA</w:t>
      </w:r>
    </w:p>
    <w:p w14:paraId="0E44FCA4" w14:textId="77777777" w:rsidR="0066238C" w:rsidRPr="0066238C" w:rsidRDefault="004130FD" w:rsidP="0066238C">
      <w:pPr>
        <w:spacing w:before="120" w:after="120"/>
        <w:jc w:val="both"/>
        <w:rPr>
          <w:rFonts w:ascii="Calibri" w:hAnsi="Calibri"/>
          <w:sz w:val="22"/>
          <w:szCs w:val="22"/>
        </w:rPr>
      </w:pPr>
      <w:r w:rsidRPr="00EE06F4">
        <w:rPr>
          <w:rFonts w:ascii="Calibri" w:hAnsi="Calibri"/>
          <w:sz w:val="22"/>
          <w:szCs w:val="22"/>
        </w:rPr>
        <w:t xml:space="preserve">An insurer has no right to subrogation against its own insured for losses or liability for which the insured is covered under the policy. </w:t>
      </w:r>
      <w:r w:rsidRPr="00EE06F4">
        <w:rPr>
          <w:rFonts w:ascii="Calibri" w:hAnsi="Calibri"/>
          <w:i/>
          <w:sz w:val="22"/>
          <w:szCs w:val="22"/>
        </w:rPr>
        <w:t>Truck Ins. Exch. v. County of Los Angeles</w:t>
      </w:r>
      <w:r w:rsidRPr="00EE06F4">
        <w:rPr>
          <w:rFonts w:ascii="Calibri" w:hAnsi="Calibri"/>
          <w:sz w:val="22"/>
          <w:szCs w:val="22"/>
        </w:rPr>
        <w:t>, 95 Cal. App.4</w:t>
      </w:r>
      <w:r w:rsidRPr="00EE06F4">
        <w:rPr>
          <w:rFonts w:ascii="Calibri" w:hAnsi="Calibri"/>
          <w:sz w:val="22"/>
          <w:szCs w:val="22"/>
          <w:vertAlign w:val="superscript"/>
        </w:rPr>
        <w:t>th</w:t>
      </w:r>
      <w:r w:rsidR="00EC7ABF" w:rsidRPr="00EE06F4">
        <w:rPr>
          <w:rFonts w:ascii="Calibri" w:hAnsi="Calibri"/>
          <w:sz w:val="22"/>
          <w:szCs w:val="22"/>
        </w:rPr>
        <w:t xml:space="preserve"> 13, 115 Cal. Rptr.</w:t>
      </w:r>
      <w:r w:rsidRPr="00EE06F4">
        <w:rPr>
          <w:rFonts w:ascii="Calibri" w:hAnsi="Calibri"/>
          <w:sz w:val="22"/>
          <w:szCs w:val="22"/>
        </w:rPr>
        <w:t>2d 179 (</w:t>
      </w:r>
      <w:r w:rsidR="00F5660C" w:rsidRPr="00EE06F4">
        <w:rPr>
          <w:rFonts w:ascii="Calibri" w:hAnsi="Calibri"/>
          <w:sz w:val="22"/>
          <w:szCs w:val="22"/>
        </w:rPr>
        <w:t xml:space="preserve">Cal. Ct. App. </w:t>
      </w:r>
      <w:r w:rsidRPr="00EE06F4">
        <w:rPr>
          <w:rFonts w:ascii="Calibri" w:hAnsi="Calibri"/>
          <w:sz w:val="22"/>
          <w:szCs w:val="22"/>
        </w:rPr>
        <w:t xml:space="preserve">2002). If the subrogee is not insured for the loss that occurs, the insurer can still seek subrogation and the ASR does not apply. </w:t>
      </w:r>
      <w:r w:rsidRPr="00EE06F4">
        <w:rPr>
          <w:rFonts w:ascii="Calibri" w:hAnsi="Calibri"/>
          <w:i/>
          <w:sz w:val="22"/>
          <w:szCs w:val="22"/>
        </w:rPr>
        <w:t>Id</w:t>
      </w:r>
      <w:r w:rsidRPr="00EE06F4">
        <w:rPr>
          <w:rFonts w:ascii="Calibri" w:hAnsi="Calibri"/>
          <w:sz w:val="22"/>
          <w:szCs w:val="22"/>
        </w:rPr>
        <w:t>. If a claimant and a tortfeasor are insured by the same policy, the insurer cannot subrogate against the tortfeasor for the insurer</w:t>
      </w:r>
      <w:r w:rsidR="00EC7ABF" w:rsidRPr="00EE06F4">
        <w:rPr>
          <w:rFonts w:ascii="Calibri" w:hAnsi="Calibri"/>
          <w:sz w:val="22"/>
          <w:szCs w:val="22"/>
        </w:rPr>
        <w:t>’</w:t>
      </w:r>
      <w:r w:rsidRPr="00EE06F4">
        <w:rPr>
          <w:rFonts w:ascii="Calibri" w:hAnsi="Calibri"/>
          <w:sz w:val="22"/>
          <w:szCs w:val="22"/>
        </w:rPr>
        <w:t>s payment for the loss, because doing so would mean in effect that the insured would be covering hi</w:t>
      </w:r>
      <w:r w:rsidR="00EC7ABF" w:rsidRPr="00EE06F4">
        <w:rPr>
          <w:rFonts w:ascii="Calibri" w:hAnsi="Calibri"/>
          <w:sz w:val="22"/>
          <w:szCs w:val="22"/>
        </w:rPr>
        <w:t>s own loss, despite the insurer’</w:t>
      </w:r>
      <w:r w:rsidRPr="00EE06F4">
        <w:rPr>
          <w:rFonts w:ascii="Calibri" w:hAnsi="Calibri"/>
          <w:sz w:val="22"/>
          <w:szCs w:val="22"/>
        </w:rPr>
        <w:t xml:space="preserve">s having accepted premiums to do so. </w:t>
      </w:r>
      <w:r w:rsidRPr="00EE06F4">
        <w:rPr>
          <w:rFonts w:ascii="Calibri" w:hAnsi="Calibri"/>
          <w:i/>
          <w:sz w:val="22"/>
          <w:szCs w:val="22"/>
        </w:rPr>
        <w:t>Longoria v. Hengehold Motor Co.</w:t>
      </w:r>
      <w:r w:rsidRPr="00EE06F4">
        <w:rPr>
          <w:rFonts w:ascii="Calibri" w:hAnsi="Calibri"/>
          <w:sz w:val="22"/>
          <w:szCs w:val="22"/>
        </w:rPr>
        <w:t>, 191 Cal.</w:t>
      </w:r>
      <w:r w:rsidR="00EC7ABF" w:rsidRPr="00EE06F4">
        <w:rPr>
          <w:rFonts w:ascii="Calibri" w:hAnsi="Calibri"/>
          <w:sz w:val="22"/>
          <w:szCs w:val="22"/>
        </w:rPr>
        <w:t xml:space="preserve"> </w:t>
      </w:r>
      <w:proofErr w:type="spellStart"/>
      <w:r w:rsidRPr="00EE06F4">
        <w:rPr>
          <w:rFonts w:ascii="Calibri" w:hAnsi="Calibri"/>
          <w:sz w:val="22"/>
          <w:szCs w:val="22"/>
        </w:rPr>
        <w:t>Rptr</w:t>
      </w:r>
      <w:proofErr w:type="spellEnd"/>
      <w:r w:rsidRPr="00EE06F4">
        <w:rPr>
          <w:rFonts w:ascii="Calibri" w:hAnsi="Calibri"/>
          <w:sz w:val="22"/>
          <w:szCs w:val="22"/>
        </w:rPr>
        <w:t>. 439 (</w:t>
      </w:r>
      <w:r w:rsidR="00F5660C" w:rsidRPr="00EE06F4">
        <w:rPr>
          <w:rFonts w:ascii="Calibri" w:hAnsi="Calibri"/>
          <w:sz w:val="22"/>
          <w:szCs w:val="22"/>
        </w:rPr>
        <w:t>Cal. Ct. App</w:t>
      </w:r>
      <w:r w:rsidRPr="00EE06F4">
        <w:rPr>
          <w:rFonts w:ascii="Calibri" w:hAnsi="Calibri"/>
          <w:sz w:val="22"/>
          <w:szCs w:val="22"/>
        </w:rPr>
        <w:t xml:space="preserve"> 1983) (Subrogation barred where husband and wife who shared policy collided while driving separate vehicles). With regard to equitable subrogation against an insured, if the policy does not cover the insured for a particular loss or liability, it would neither undermine the insured</w:t>
      </w:r>
      <w:r w:rsidR="00EC7ABF" w:rsidRPr="00EE06F4">
        <w:rPr>
          <w:rFonts w:ascii="Calibri" w:hAnsi="Calibri"/>
          <w:sz w:val="22"/>
          <w:szCs w:val="22"/>
        </w:rPr>
        <w:t>’</w:t>
      </w:r>
      <w:r w:rsidRPr="00EE06F4">
        <w:rPr>
          <w:rFonts w:ascii="Calibri" w:hAnsi="Calibri"/>
          <w:sz w:val="22"/>
          <w:szCs w:val="22"/>
        </w:rPr>
        <w:t xml:space="preserve">s coverage nor be inequitable to impose the loss or liability on the insured if the insured caused or was otherwise responsible for the loss or liability. </w:t>
      </w:r>
      <w:r w:rsidR="00EC7ABF" w:rsidRPr="00EE06F4">
        <w:rPr>
          <w:rFonts w:ascii="Calibri" w:hAnsi="Calibri"/>
          <w:i/>
          <w:sz w:val="22"/>
          <w:szCs w:val="22"/>
        </w:rPr>
        <w:t>McKinley v. XL Special</w:t>
      </w:r>
      <w:r w:rsidRPr="00EE06F4">
        <w:rPr>
          <w:rFonts w:ascii="Calibri" w:hAnsi="Calibri"/>
          <w:i/>
          <w:sz w:val="22"/>
          <w:szCs w:val="22"/>
        </w:rPr>
        <w:t>ty Ins. Co.</w:t>
      </w:r>
      <w:r w:rsidRPr="00EE06F4">
        <w:rPr>
          <w:rFonts w:ascii="Calibri" w:hAnsi="Calibri"/>
          <w:sz w:val="22"/>
          <w:szCs w:val="22"/>
        </w:rPr>
        <w:t>, 33 Cal.Rptr.3d 98 (</w:t>
      </w:r>
      <w:r w:rsidR="00F5660C" w:rsidRPr="00EE06F4">
        <w:rPr>
          <w:rFonts w:ascii="Calibri" w:hAnsi="Calibri"/>
          <w:sz w:val="22"/>
          <w:szCs w:val="22"/>
        </w:rPr>
        <w:t>Cal. Ct. App.</w:t>
      </w:r>
      <w:r w:rsidR="00EC7ABF" w:rsidRPr="00EE06F4">
        <w:rPr>
          <w:rFonts w:ascii="Calibri" w:hAnsi="Calibri"/>
          <w:sz w:val="22"/>
          <w:szCs w:val="22"/>
        </w:rPr>
        <w:t xml:space="preserve"> 2005).</w:t>
      </w:r>
      <w:r w:rsidR="0066238C">
        <w:rPr>
          <w:rFonts w:ascii="Calibri" w:hAnsi="Calibri"/>
          <w:sz w:val="22"/>
          <w:szCs w:val="22"/>
        </w:rPr>
        <w:t xml:space="preserve"> The anti-subrogation rule bars</w:t>
      </w:r>
      <w:r w:rsidR="0066238C" w:rsidRPr="0066238C">
        <w:rPr>
          <w:rFonts w:ascii="Calibri" w:hAnsi="Calibri"/>
          <w:sz w:val="22"/>
          <w:szCs w:val="22"/>
        </w:rPr>
        <w:t xml:space="preserve"> an insurer’s</w:t>
      </w:r>
      <w:r w:rsidR="00E5103B">
        <w:rPr>
          <w:rFonts w:ascii="Calibri" w:hAnsi="Calibri"/>
          <w:sz w:val="22"/>
          <w:szCs w:val="22"/>
        </w:rPr>
        <w:t xml:space="preserve"> </w:t>
      </w:r>
      <w:r w:rsidR="0066238C" w:rsidRPr="0066238C">
        <w:rPr>
          <w:rFonts w:ascii="Calibri" w:hAnsi="Calibri"/>
          <w:sz w:val="22"/>
          <w:szCs w:val="22"/>
        </w:rPr>
        <w:t>subrogation</w:t>
      </w:r>
      <w:r w:rsidR="00E5103B">
        <w:rPr>
          <w:rFonts w:ascii="Calibri" w:hAnsi="Calibri"/>
          <w:sz w:val="22"/>
          <w:szCs w:val="22"/>
        </w:rPr>
        <w:t xml:space="preserve"> </w:t>
      </w:r>
      <w:r w:rsidR="0066238C" w:rsidRPr="0066238C">
        <w:rPr>
          <w:rFonts w:ascii="Calibri" w:hAnsi="Calibri"/>
          <w:sz w:val="22"/>
          <w:szCs w:val="22"/>
        </w:rPr>
        <w:t>claims against its own insured for a claim arising from the very risk for which the insured was covered</w:t>
      </w:r>
      <w:r w:rsidR="0066238C">
        <w:rPr>
          <w:rFonts w:ascii="Calibri" w:hAnsi="Calibri"/>
          <w:sz w:val="22"/>
          <w:szCs w:val="22"/>
        </w:rPr>
        <w:t xml:space="preserve">. </w:t>
      </w:r>
      <w:r w:rsidR="0066238C">
        <w:rPr>
          <w:rFonts w:ascii="Calibri" w:hAnsi="Calibri"/>
          <w:i/>
          <w:sz w:val="22"/>
          <w:szCs w:val="22"/>
        </w:rPr>
        <w:t xml:space="preserve">Romero v. S. Schwab Company, Inc., </w:t>
      </w:r>
      <w:r w:rsidR="0066238C" w:rsidRPr="00E5103B">
        <w:rPr>
          <w:rFonts w:ascii="Calibri" w:hAnsi="Calibri"/>
          <w:sz w:val="22"/>
          <w:szCs w:val="22"/>
        </w:rPr>
        <w:t>2018 WL 31261111 (S.D. Cal. 2018)</w:t>
      </w:r>
      <w:r w:rsidR="0066238C">
        <w:rPr>
          <w:rFonts w:ascii="Calibri" w:hAnsi="Calibri"/>
          <w:i/>
          <w:sz w:val="22"/>
          <w:szCs w:val="22"/>
        </w:rPr>
        <w:t xml:space="preserve">; Pennsylvania General Ins. Co. v. Austin Powder Co., </w:t>
      </w:r>
      <w:r w:rsidR="0066238C" w:rsidRPr="00E5103B">
        <w:rPr>
          <w:rFonts w:ascii="Calibri" w:hAnsi="Calibri"/>
          <w:sz w:val="22"/>
          <w:szCs w:val="22"/>
        </w:rPr>
        <w:t xml:space="preserve">502 N.E.2d 982 (N.Y. 1986). </w:t>
      </w:r>
    </w:p>
    <w:p w14:paraId="079CD408" w14:textId="77777777" w:rsidR="004130FD" w:rsidRPr="00EE06F4" w:rsidRDefault="004130FD" w:rsidP="00696E3D">
      <w:pPr>
        <w:spacing w:before="120" w:after="120"/>
        <w:jc w:val="both"/>
        <w:rPr>
          <w:rFonts w:ascii="Calibri" w:hAnsi="Calibri"/>
          <w:sz w:val="22"/>
          <w:szCs w:val="22"/>
        </w:rPr>
      </w:pPr>
      <w:r w:rsidRPr="00EE06F4">
        <w:rPr>
          <w:rFonts w:ascii="Calibri" w:hAnsi="Calibri"/>
          <w:sz w:val="22"/>
          <w:szCs w:val="22"/>
        </w:rPr>
        <w:t xml:space="preserve">If an insurer insures both the tortfeasor and victim under separate policies, the ASR is triggered when the insurer attempts to recover from the tortfeasor for losses paid to the victim from the same incident. </w:t>
      </w:r>
      <w:proofErr w:type="spellStart"/>
      <w:r w:rsidRPr="00EE06F4">
        <w:rPr>
          <w:rFonts w:ascii="Calibri" w:hAnsi="Calibri"/>
          <w:i/>
          <w:sz w:val="22"/>
          <w:szCs w:val="22"/>
        </w:rPr>
        <w:t>Nat’l</w:t>
      </w:r>
      <w:proofErr w:type="spellEnd"/>
      <w:r w:rsidRPr="00EE06F4">
        <w:rPr>
          <w:rFonts w:ascii="Calibri" w:hAnsi="Calibri"/>
          <w:i/>
          <w:sz w:val="22"/>
          <w:szCs w:val="22"/>
        </w:rPr>
        <w:t xml:space="preserve"> Union Fire Ins. Co. of Pitt., Pa. v. Engineering-Science, Inc.</w:t>
      </w:r>
      <w:r w:rsidRPr="00EE06F4">
        <w:rPr>
          <w:rFonts w:ascii="Calibri" w:hAnsi="Calibri"/>
          <w:sz w:val="22"/>
          <w:szCs w:val="22"/>
        </w:rPr>
        <w:t>, 673 F.</w:t>
      </w:r>
      <w:r w:rsidR="00EC7ABF" w:rsidRPr="00EE06F4">
        <w:rPr>
          <w:rFonts w:ascii="Calibri" w:hAnsi="Calibri"/>
          <w:sz w:val="22"/>
          <w:szCs w:val="22"/>
        </w:rPr>
        <w:t xml:space="preserve"> </w:t>
      </w:r>
      <w:r w:rsidRPr="00EE06F4">
        <w:rPr>
          <w:rFonts w:ascii="Calibri" w:hAnsi="Calibri"/>
          <w:sz w:val="22"/>
          <w:szCs w:val="22"/>
        </w:rPr>
        <w:t>Supp. 380 (N.D.</w:t>
      </w:r>
      <w:r w:rsidR="00EC7ABF" w:rsidRPr="00EE06F4">
        <w:rPr>
          <w:rFonts w:ascii="Calibri" w:hAnsi="Calibri"/>
          <w:sz w:val="22"/>
          <w:szCs w:val="22"/>
        </w:rPr>
        <w:t xml:space="preserve"> </w:t>
      </w:r>
      <w:r w:rsidRPr="00EE06F4">
        <w:rPr>
          <w:rFonts w:ascii="Calibri" w:hAnsi="Calibri"/>
          <w:sz w:val="22"/>
          <w:szCs w:val="22"/>
        </w:rPr>
        <w:t>Cal. 1987) (Subrogation barred where insurer insured contractor under builder</w:t>
      </w:r>
      <w:r w:rsidR="00EC7ABF" w:rsidRPr="00EE06F4">
        <w:rPr>
          <w:rFonts w:ascii="Calibri" w:hAnsi="Calibri"/>
          <w:sz w:val="22"/>
          <w:szCs w:val="22"/>
        </w:rPr>
        <w:t>’</w:t>
      </w:r>
      <w:r w:rsidRPr="00EE06F4">
        <w:rPr>
          <w:rFonts w:ascii="Calibri" w:hAnsi="Calibri"/>
          <w:sz w:val="22"/>
          <w:szCs w:val="22"/>
        </w:rPr>
        <w:t xml:space="preserve">s risk policy and engineering firm under errors and omissions policy which provided coverage for the same loss). However, in </w:t>
      </w:r>
      <w:r w:rsidRPr="00EE06F4">
        <w:rPr>
          <w:rFonts w:ascii="Calibri" w:hAnsi="Calibri"/>
          <w:i/>
          <w:sz w:val="22"/>
          <w:szCs w:val="22"/>
        </w:rPr>
        <w:t>White v. Allstate Ins. Co.</w:t>
      </w:r>
      <w:r w:rsidRPr="00EE06F4">
        <w:rPr>
          <w:rFonts w:ascii="Calibri" w:hAnsi="Calibri"/>
          <w:sz w:val="22"/>
          <w:szCs w:val="22"/>
        </w:rPr>
        <w:t xml:space="preserve">, </w:t>
      </w:r>
      <w:r w:rsidR="00830E8D" w:rsidRPr="00EE06F4">
        <w:rPr>
          <w:rFonts w:ascii="Calibri" w:hAnsi="Calibri"/>
          <w:sz w:val="22"/>
          <w:szCs w:val="22"/>
        </w:rPr>
        <w:t>1996 WL 601476</w:t>
      </w:r>
      <w:r w:rsidRPr="00EE06F4">
        <w:rPr>
          <w:rFonts w:ascii="Calibri" w:hAnsi="Calibri"/>
          <w:sz w:val="22"/>
          <w:szCs w:val="22"/>
        </w:rPr>
        <w:t xml:space="preserve"> (</w:t>
      </w:r>
      <w:r w:rsidR="00830E8D" w:rsidRPr="00EE06F4">
        <w:rPr>
          <w:rFonts w:ascii="Calibri" w:hAnsi="Calibri"/>
          <w:sz w:val="22"/>
          <w:szCs w:val="22"/>
        </w:rPr>
        <w:t>9</w:t>
      </w:r>
      <w:r w:rsidR="00830E8D" w:rsidRPr="00EE06F4">
        <w:rPr>
          <w:rFonts w:ascii="Calibri" w:hAnsi="Calibri"/>
          <w:sz w:val="22"/>
          <w:szCs w:val="22"/>
          <w:vertAlign w:val="superscript"/>
        </w:rPr>
        <w:t>th</w:t>
      </w:r>
      <w:r w:rsidR="00EC7ABF" w:rsidRPr="00EE06F4">
        <w:rPr>
          <w:rFonts w:ascii="Calibri" w:hAnsi="Calibri"/>
          <w:sz w:val="22"/>
          <w:szCs w:val="22"/>
        </w:rPr>
        <w:t xml:space="preserve"> </w:t>
      </w:r>
      <w:r w:rsidRPr="00EE06F4">
        <w:rPr>
          <w:rFonts w:ascii="Calibri" w:hAnsi="Calibri"/>
          <w:sz w:val="22"/>
          <w:szCs w:val="22"/>
        </w:rPr>
        <w:t>Cir. 1996) (</w:t>
      </w:r>
      <w:r w:rsidR="00EC7ABF" w:rsidRPr="00EE06F4">
        <w:rPr>
          <w:rFonts w:ascii="Calibri" w:hAnsi="Calibri"/>
          <w:i/>
          <w:sz w:val="22"/>
          <w:szCs w:val="22"/>
        </w:rPr>
        <w:t>u</w:t>
      </w:r>
      <w:r w:rsidRPr="00EE06F4">
        <w:rPr>
          <w:rFonts w:ascii="Calibri" w:hAnsi="Calibri"/>
          <w:i/>
          <w:sz w:val="22"/>
          <w:szCs w:val="22"/>
        </w:rPr>
        <w:t>npublished</w:t>
      </w:r>
      <w:r w:rsidRPr="00EE06F4">
        <w:rPr>
          <w:rFonts w:ascii="Calibri" w:hAnsi="Calibri"/>
          <w:sz w:val="22"/>
          <w:szCs w:val="22"/>
        </w:rPr>
        <w:t>), the Ninth Circuit, applying California law, found that subrogation was permissible against a painter, whom Allstate covered under an auto insurance policy, when the painter negligently burned down a home that Allstate covered under a homeowner</w:t>
      </w:r>
      <w:r w:rsidR="00EC7ABF" w:rsidRPr="00EE06F4">
        <w:rPr>
          <w:rFonts w:ascii="Calibri" w:hAnsi="Calibri"/>
          <w:sz w:val="22"/>
          <w:szCs w:val="22"/>
        </w:rPr>
        <w:t>’</w:t>
      </w:r>
      <w:r w:rsidRPr="00EE06F4">
        <w:rPr>
          <w:rFonts w:ascii="Calibri" w:hAnsi="Calibri"/>
          <w:sz w:val="22"/>
          <w:szCs w:val="22"/>
        </w:rPr>
        <w:t>s policy.</w:t>
      </w:r>
    </w:p>
    <w:p w14:paraId="267EF014" w14:textId="77777777" w:rsidR="00935406" w:rsidRPr="00197809" w:rsidRDefault="00935406" w:rsidP="00EC7ABF">
      <w:pPr>
        <w:spacing w:before="240" w:after="120"/>
        <w:jc w:val="both"/>
        <w:rPr>
          <w:rFonts w:ascii="Calibri" w:hAnsi="Calibri"/>
          <w:color w:val="0F243E"/>
          <w:sz w:val="24"/>
          <w:szCs w:val="24"/>
        </w:rPr>
      </w:pPr>
      <w:r w:rsidRPr="00197809">
        <w:rPr>
          <w:rFonts w:ascii="Calibri" w:hAnsi="Calibri"/>
          <w:b/>
          <w:color w:val="0F243E"/>
          <w:sz w:val="24"/>
          <w:szCs w:val="24"/>
          <w:u w:val="single"/>
        </w:rPr>
        <w:t>COLORADO</w:t>
      </w:r>
    </w:p>
    <w:p w14:paraId="6ECCF971" w14:textId="79E58050" w:rsidR="00091E2E" w:rsidRDefault="00C36F26" w:rsidP="00696E3D">
      <w:pPr>
        <w:spacing w:before="120" w:after="120"/>
        <w:jc w:val="both"/>
        <w:rPr>
          <w:rFonts w:ascii="Calibri" w:hAnsi="Calibri"/>
          <w:sz w:val="22"/>
          <w:szCs w:val="22"/>
        </w:rPr>
      </w:pPr>
      <w:r w:rsidRPr="00C36F26">
        <w:rPr>
          <w:rFonts w:ascii="Calibri" w:hAnsi="Calibri"/>
          <w:sz w:val="22"/>
          <w:szCs w:val="22"/>
        </w:rPr>
        <w:t xml:space="preserve">An insurer can have no right of subrogation against its own insured since its insured is not a third party but one to whom a duty to pay a loss is owed. </w:t>
      </w:r>
      <w:r w:rsidRPr="00C36F26">
        <w:rPr>
          <w:rFonts w:ascii="Calibri" w:hAnsi="Calibri"/>
          <w:i/>
          <w:iCs/>
          <w:sz w:val="22"/>
          <w:szCs w:val="22"/>
        </w:rPr>
        <w:t>Transamerica Ins. Co. v. Gage Plumbing and Heating Co.,</w:t>
      </w:r>
      <w:r w:rsidRPr="00C36F26">
        <w:rPr>
          <w:rFonts w:ascii="Calibri" w:hAnsi="Calibri"/>
          <w:sz w:val="22"/>
          <w:szCs w:val="22"/>
        </w:rPr>
        <w:t xml:space="preserve"> 433 F.2d 1051 (10</w:t>
      </w:r>
      <w:r w:rsidRPr="00C36F26">
        <w:rPr>
          <w:rFonts w:ascii="Calibri" w:hAnsi="Calibri"/>
          <w:sz w:val="22"/>
          <w:szCs w:val="22"/>
          <w:vertAlign w:val="superscript"/>
        </w:rPr>
        <w:t>th</w:t>
      </w:r>
      <w:r w:rsidRPr="00C36F26">
        <w:rPr>
          <w:rFonts w:ascii="Calibri" w:hAnsi="Calibri"/>
          <w:sz w:val="22"/>
          <w:szCs w:val="22"/>
        </w:rPr>
        <w:t xml:space="preserve"> Cir. 1970) (applying Kansas law). Under the ASR, an insurer may not seek recovery against its insured </w:t>
      </w:r>
      <w:r w:rsidRPr="00C36F26">
        <w:rPr>
          <w:rFonts w:ascii="Calibri" w:hAnsi="Calibri"/>
          <w:i/>
          <w:sz w:val="22"/>
          <w:szCs w:val="22"/>
        </w:rPr>
        <w:t>on a claim arising from the risk for which the insured was covered</w:t>
      </w:r>
      <w:r w:rsidRPr="00C36F26">
        <w:rPr>
          <w:rFonts w:ascii="Calibri" w:hAnsi="Calibri"/>
          <w:sz w:val="22"/>
          <w:szCs w:val="22"/>
        </w:rPr>
        <w:t xml:space="preserve">. </w:t>
      </w:r>
      <w:r w:rsidRPr="00C36F26">
        <w:rPr>
          <w:rFonts w:ascii="Calibri" w:hAnsi="Calibri"/>
          <w:i/>
          <w:iCs/>
          <w:sz w:val="22"/>
          <w:szCs w:val="22"/>
        </w:rPr>
        <w:t>DeHerrera v. Am. Family Mut. Ins. Co.</w:t>
      </w:r>
      <w:r w:rsidRPr="00C36F26">
        <w:rPr>
          <w:rFonts w:ascii="Calibri" w:hAnsi="Calibri"/>
          <w:sz w:val="22"/>
          <w:szCs w:val="22"/>
        </w:rPr>
        <w:t xml:space="preserve">, 219 P.3d 346 (Colo. App. 2009). </w:t>
      </w:r>
      <w:r w:rsidR="00091E2E" w:rsidRPr="00AC75FE">
        <w:rPr>
          <w:rFonts w:ascii="Calibri" w:hAnsi="Calibri"/>
          <w:sz w:val="22"/>
          <w:szCs w:val="22"/>
        </w:rPr>
        <w:t>An insurer</w:t>
      </w:r>
      <w:r w:rsidR="00091E2E" w:rsidRPr="002F777D">
        <w:rPr>
          <w:rFonts w:ascii="Calibri" w:hAnsi="Calibri"/>
          <w:sz w:val="22"/>
          <w:szCs w:val="22"/>
        </w:rPr>
        <w:t xml:space="preserve"> may not seek recovery against its insured on a claim </w:t>
      </w:r>
      <w:r w:rsidR="00091E2E" w:rsidRPr="0043636F">
        <w:rPr>
          <w:rFonts w:ascii="Calibri" w:hAnsi="Calibri"/>
          <w:sz w:val="22"/>
          <w:szCs w:val="22"/>
          <w:u w:val="single"/>
        </w:rPr>
        <w:t>arising from the risk for which the insured was covered</w:t>
      </w:r>
      <w:r w:rsidR="00091E2E" w:rsidRPr="002F777D">
        <w:rPr>
          <w:rFonts w:ascii="Calibri" w:hAnsi="Calibri"/>
          <w:sz w:val="22"/>
          <w:szCs w:val="22"/>
        </w:rPr>
        <w:t xml:space="preserve">. </w:t>
      </w:r>
      <w:r w:rsidR="00091E2E" w:rsidRPr="002F777D">
        <w:rPr>
          <w:rFonts w:ascii="Calibri" w:hAnsi="Calibri"/>
          <w:i/>
          <w:sz w:val="22"/>
          <w:szCs w:val="22"/>
        </w:rPr>
        <w:t>1700 Lincoln</w:t>
      </w:r>
      <w:r w:rsidR="00EC7ABF" w:rsidRPr="002F777D">
        <w:rPr>
          <w:rFonts w:ascii="Calibri" w:hAnsi="Calibri"/>
          <w:i/>
          <w:sz w:val="22"/>
          <w:szCs w:val="22"/>
        </w:rPr>
        <w:t>, Ltd.</w:t>
      </w:r>
      <w:r w:rsidR="00091E2E" w:rsidRPr="002F777D">
        <w:rPr>
          <w:rFonts w:ascii="Calibri" w:hAnsi="Calibri"/>
          <w:i/>
          <w:sz w:val="22"/>
          <w:szCs w:val="22"/>
        </w:rPr>
        <w:t xml:space="preserve"> v. Denver Marble &amp; Tile Co</w:t>
      </w:r>
      <w:r w:rsidR="007C6406" w:rsidRPr="002F777D">
        <w:rPr>
          <w:rFonts w:ascii="Calibri" w:hAnsi="Calibri"/>
          <w:sz w:val="22"/>
          <w:szCs w:val="22"/>
        </w:rPr>
        <w:t>., 741 P.2d 1270</w:t>
      </w:r>
      <w:r w:rsidR="00091E2E" w:rsidRPr="002F777D">
        <w:rPr>
          <w:rFonts w:ascii="Calibri" w:hAnsi="Calibri"/>
          <w:sz w:val="22"/>
          <w:szCs w:val="22"/>
        </w:rPr>
        <w:t xml:space="preserve"> (Colo. App. 1987). An insurer may sue to recover payment</w:t>
      </w:r>
      <w:r w:rsidR="00AC75FE">
        <w:rPr>
          <w:rFonts w:ascii="Calibri" w:hAnsi="Calibri"/>
          <w:sz w:val="22"/>
          <w:szCs w:val="22"/>
        </w:rPr>
        <w:t>s</w:t>
      </w:r>
      <w:r w:rsidR="00091E2E" w:rsidRPr="002F777D">
        <w:rPr>
          <w:rFonts w:ascii="Calibri" w:hAnsi="Calibri"/>
          <w:sz w:val="22"/>
          <w:szCs w:val="22"/>
        </w:rPr>
        <w:t xml:space="preserve"> made for damage</w:t>
      </w:r>
      <w:r w:rsidR="00AC75FE">
        <w:rPr>
          <w:rFonts w:ascii="Calibri" w:hAnsi="Calibri"/>
          <w:sz w:val="22"/>
          <w:szCs w:val="22"/>
        </w:rPr>
        <w:t>s</w:t>
      </w:r>
      <w:r w:rsidR="00091E2E" w:rsidRPr="002F777D">
        <w:rPr>
          <w:rFonts w:ascii="Calibri" w:hAnsi="Calibri"/>
          <w:sz w:val="22"/>
          <w:szCs w:val="22"/>
        </w:rPr>
        <w:t xml:space="preserve"> caused by a subcontractor</w:t>
      </w:r>
      <w:r w:rsidR="00EC7ABF" w:rsidRPr="002F777D">
        <w:rPr>
          <w:rFonts w:ascii="Calibri" w:hAnsi="Calibri"/>
          <w:sz w:val="22"/>
          <w:szCs w:val="22"/>
        </w:rPr>
        <w:t>’</w:t>
      </w:r>
      <w:r w:rsidR="00091E2E" w:rsidRPr="002F777D">
        <w:rPr>
          <w:rFonts w:ascii="Calibri" w:hAnsi="Calibri"/>
          <w:sz w:val="22"/>
          <w:szCs w:val="22"/>
        </w:rPr>
        <w:t>s negligence where a general contractor</w:t>
      </w:r>
      <w:r w:rsidR="00EC7ABF" w:rsidRPr="002F777D">
        <w:rPr>
          <w:rFonts w:ascii="Calibri" w:hAnsi="Calibri"/>
          <w:sz w:val="22"/>
          <w:szCs w:val="22"/>
        </w:rPr>
        <w:t>’</w:t>
      </w:r>
      <w:r w:rsidR="00091E2E" w:rsidRPr="002F777D">
        <w:rPr>
          <w:rFonts w:ascii="Calibri" w:hAnsi="Calibri"/>
          <w:sz w:val="22"/>
          <w:szCs w:val="22"/>
        </w:rPr>
        <w:t xml:space="preserve">s policy covered subcontractors for property damage, but not liability. </w:t>
      </w:r>
      <w:r w:rsidR="00091E2E" w:rsidRPr="002F777D">
        <w:rPr>
          <w:rFonts w:ascii="Calibri" w:hAnsi="Calibri"/>
          <w:i/>
          <w:sz w:val="22"/>
          <w:szCs w:val="22"/>
        </w:rPr>
        <w:t>Employers</w:t>
      </w:r>
      <w:r w:rsidR="00EC7ABF" w:rsidRPr="002F777D">
        <w:rPr>
          <w:rFonts w:ascii="Calibri" w:hAnsi="Calibri"/>
          <w:i/>
          <w:sz w:val="22"/>
          <w:szCs w:val="22"/>
        </w:rPr>
        <w:t>’</w:t>
      </w:r>
      <w:r w:rsidR="00091E2E" w:rsidRPr="002F777D">
        <w:rPr>
          <w:rFonts w:ascii="Calibri" w:hAnsi="Calibri"/>
          <w:i/>
          <w:sz w:val="22"/>
          <w:szCs w:val="22"/>
        </w:rPr>
        <w:t xml:space="preserve"> Fire Ins. Co. v. Behunin</w:t>
      </w:r>
      <w:r w:rsidR="00091E2E" w:rsidRPr="002F777D">
        <w:rPr>
          <w:rFonts w:ascii="Calibri" w:hAnsi="Calibri"/>
          <w:sz w:val="22"/>
          <w:szCs w:val="22"/>
        </w:rPr>
        <w:t>, 275 F.</w:t>
      </w:r>
      <w:r w:rsidR="00EC7ABF" w:rsidRPr="002F777D">
        <w:rPr>
          <w:rFonts w:ascii="Calibri" w:hAnsi="Calibri"/>
          <w:sz w:val="22"/>
          <w:szCs w:val="22"/>
        </w:rPr>
        <w:t xml:space="preserve"> </w:t>
      </w:r>
      <w:r w:rsidR="00091E2E" w:rsidRPr="002F777D">
        <w:rPr>
          <w:rFonts w:ascii="Calibri" w:hAnsi="Calibri"/>
          <w:sz w:val="22"/>
          <w:szCs w:val="22"/>
        </w:rPr>
        <w:t xml:space="preserve">Supp. 399 (D. Colo. 1967). The ASR did not bar </w:t>
      </w:r>
      <w:r w:rsidR="00EC7ABF" w:rsidRPr="002F777D">
        <w:rPr>
          <w:rFonts w:ascii="Calibri" w:hAnsi="Calibri"/>
          <w:sz w:val="22"/>
          <w:szCs w:val="22"/>
        </w:rPr>
        <w:t xml:space="preserve">the </w:t>
      </w:r>
      <w:r w:rsidR="00091E2E" w:rsidRPr="002F777D">
        <w:rPr>
          <w:rFonts w:ascii="Calibri" w:hAnsi="Calibri"/>
          <w:sz w:val="22"/>
          <w:szCs w:val="22"/>
        </w:rPr>
        <w:t xml:space="preserve">auto insurer from recovering from </w:t>
      </w:r>
      <w:r w:rsidR="00EC7ABF" w:rsidRPr="002F777D">
        <w:rPr>
          <w:rFonts w:ascii="Calibri" w:hAnsi="Calibri"/>
          <w:sz w:val="22"/>
          <w:szCs w:val="22"/>
        </w:rPr>
        <w:t xml:space="preserve">the </w:t>
      </w:r>
      <w:r w:rsidR="00091E2E" w:rsidRPr="002F777D">
        <w:rPr>
          <w:rFonts w:ascii="Calibri" w:hAnsi="Calibri"/>
          <w:sz w:val="22"/>
          <w:szCs w:val="22"/>
        </w:rPr>
        <w:t xml:space="preserve">settlement </w:t>
      </w:r>
      <w:r w:rsidR="00EC7ABF" w:rsidRPr="002F777D">
        <w:rPr>
          <w:rFonts w:ascii="Calibri" w:hAnsi="Calibri"/>
          <w:sz w:val="22"/>
          <w:szCs w:val="22"/>
        </w:rPr>
        <w:t xml:space="preserve">the </w:t>
      </w:r>
      <w:r w:rsidR="00091E2E" w:rsidRPr="002F777D">
        <w:rPr>
          <w:rFonts w:ascii="Calibri" w:hAnsi="Calibri"/>
          <w:sz w:val="22"/>
          <w:szCs w:val="22"/>
        </w:rPr>
        <w:t>insured received from</w:t>
      </w:r>
      <w:r w:rsidR="00EC7ABF" w:rsidRPr="002F777D">
        <w:rPr>
          <w:rFonts w:ascii="Calibri" w:hAnsi="Calibri"/>
          <w:sz w:val="22"/>
          <w:szCs w:val="22"/>
        </w:rPr>
        <w:t xml:space="preserve"> the</w:t>
      </w:r>
      <w:r w:rsidR="00091E2E" w:rsidRPr="002F777D">
        <w:rPr>
          <w:rFonts w:ascii="Calibri" w:hAnsi="Calibri"/>
          <w:sz w:val="22"/>
          <w:szCs w:val="22"/>
        </w:rPr>
        <w:t xml:space="preserve"> tortfeasor as allowing reimbursement did not make the insurer</w:t>
      </w:r>
      <w:r w:rsidR="00EC7ABF" w:rsidRPr="002F777D">
        <w:rPr>
          <w:rFonts w:ascii="Calibri" w:hAnsi="Calibri"/>
          <w:sz w:val="22"/>
          <w:szCs w:val="22"/>
        </w:rPr>
        <w:t>’</w:t>
      </w:r>
      <w:r w:rsidR="00091E2E" w:rsidRPr="002F777D">
        <w:rPr>
          <w:rFonts w:ascii="Calibri" w:hAnsi="Calibri"/>
          <w:sz w:val="22"/>
          <w:szCs w:val="22"/>
        </w:rPr>
        <w:t xml:space="preserve">s medical payments coverage illusory. </w:t>
      </w:r>
      <w:r w:rsidR="00091E2E" w:rsidRPr="002F777D">
        <w:rPr>
          <w:rFonts w:ascii="Calibri" w:hAnsi="Calibri"/>
          <w:i/>
          <w:sz w:val="22"/>
          <w:szCs w:val="22"/>
        </w:rPr>
        <w:t xml:space="preserve">DeHerrera v. American Family Mut. Ins. Co., </w:t>
      </w:r>
      <w:r w:rsidR="00091E2E" w:rsidRPr="002F777D">
        <w:rPr>
          <w:rFonts w:ascii="Calibri" w:hAnsi="Calibri"/>
          <w:sz w:val="22"/>
          <w:szCs w:val="22"/>
        </w:rPr>
        <w:t>219 P.3d 346 (Colo. App. 2009). To qualify as an insured on a policy</w:t>
      </w:r>
      <w:r w:rsidR="00EC7ABF" w:rsidRPr="002F777D">
        <w:rPr>
          <w:rFonts w:ascii="Calibri" w:hAnsi="Calibri"/>
          <w:sz w:val="22"/>
          <w:szCs w:val="22"/>
        </w:rPr>
        <w:t>,</w:t>
      </w:r>
      <w:r w:rsidR="00091E2E" w:rsidRPr="002F777D">
        <w:rPr>
          <w:rFonts w:ascii="Calibri" w:hAnsi="Calibri"/>
          <w:sz w:val="22"/>
          <w:szCs w:val="22"/>
        </w:rPr>
        <w:t xml:space="preserve"> and thereby trigger the protection of the ASR, a subcontractor must show that</w:t>
      </w:r>
      <w:r w:rsidR="00EC7ABF" w:rsidRPr="002F777D">
        <w:rPr>
          <w:rFonts w:ascii="Calibri" w:hAnsi="Calibri"/>
          <w:sz w:val="22"/>
          <w:szCs w:val="22"/>
        </w:rPr>
        <w:t xml:space="preserve"> they are an insured under the “</w:t>
      </w:r>
      <w:r w:rsidR="00091E2E" w:rsidRPr="002F777D">
        <w:rPr>
          <w:rFonts w:ascii="Calibri" w:hAnsi="Calibri"/>
          <w:sz w:val="22"/>
          <w:szCs w:val="22"/>
        </w:rPr>
        <w:t>plain language</w:t>
      </w:r>
      <w:r w:rsidR="00EC7ABF" w:rsidRPr="002F777D">
        <w:rPr>
          <w:rFonts w:ascii="Calibri" w:hAnsi="Calibri"/>
          <w:sz w:val="22"/>
          <w:szCs w:val="22"/>
        </w:rPr>
        <w:t>”</w:t>
      </w:r>
      <w:r w:rsidR="00091E2E" w:rsidRPr="002F777D">
        <w:rPr>
          <w:rFonts w:ascii="Calibri" w:hAnsi="Calibri"/>
          <w:sz w:val="22"/>
          <w:szCs w:val="22"/>
        </w:rPr>
        <w:t xml:space="preserve"> of the policy. </w:t>
      </w:r>
      <w:r w:rsidR="00091E2E" w:rsidRPr="002F777D">
        <w:rPr>
          <w:rFonts w:ascii="Calibri" w:hAnsi="Calibri"/>
          <w:i/>
          <w:sz w:val="22"/>
          <w:szCs w:val="22"/>
        </w:rPr>
        <w:t>Fairfield Development, Inc. v. JDI Contractor &amp; Supply, Inc.</w:t>
      </w:r>
      <w:r w:rsidR="00091E2E" w:rsidRPr="002F777D">
        <w:rPr>
          <w:rFonts w:ascii="Calibri" w:hAnsi="Calibri"/>
          <w:sz w:val="22"/>
          <w:szCs w:val="22"/>
        </w:rPr>
        <w:t>, 703 F.</w:t>
      </w:r>
      <w:r w:rsidR="00EC7ABF" w:rsidRPr="002F777D">
        <w:rPr>
          <w:rFonts w:ascii="Calibri" w:hAnsi="Calibri"/>
          <w:sz w:val="22"/>
          <w:szCs w:val="22"/>
        </w:rPr>
        <w:t xml:space="preserve"> </w:t>
      </w:r>
      <w:r w:rsidR="00091E2E" w:rsidRPr="002F777D">
        <w:rPr>
          <w:rFonts w:ascii="Calibri" w:hAnsi="Calibri"/>
          <w:sz w:val="22"/>
          <w:szCs w:val="22"/>
        </w:rPr>
        <w:t>Supp.2d 1211 (D. Colo. 2010) (</w:t>
      </w:r>
      <w:r w:rsidR="00EC7ABF" w:rsidRPr="002F777D">
        <w:rPr>
          <w:rFonts w:ascii="Calibri" w:hAnsi="Calibri"/>
          <w:sz w:val="22"/>
          <w:szCs w:val="22"/>
        </w:rPr>
        <w:t>a</w:t>
      </w:r>
      <w:r w:rsidR="00091E2E" w:rsidRPr="002F777D">
        <w:rPr>
          <w:rFonts w:ascii="Calibri" w:hAnsi="Calibri"/>
          <w:sz w:val="22"/>
          <w:szCs w:val="22"/>
        </w:rPr>
        <w:t xml:space="preserve">pplying Colorado law). </w:t>
      </w:r>
      <w:r w:rsidR="002F777D" w:rsidRPr="002F777D">
        <w:rPr>
          <w:rFonts w:ascii="Calibri" w:hAnsi="Calibri"/>
          <w:sz w:val="22"/>
          <w:szCs w:val="22"/>
        </w:rPr>
        <w:t xml:space="preserve">In </w:t>
      </w:r>
      <w:r w:rsidR="00091E2E" w:rsidRPr="002F777D">
        <w:rPr>
          <w:rFonts w:ascii="Calibri" w:hAnsi="Calibri"/>
          <w:i/>
          <w:sz w:val="22"/>
          <w:szCs w:val="22"/>
        </w:rPr>
        <w:t>Continental Divide Ins. Co.</w:t>
      </w:r>
      <w:r w:rsidR="00AC75FE">
        <w:rPr>
          <w:rFonts w:ascii="Calibri" w:hAnsi="Calibri"/>
          <w:i/>
          <w:sz w:val="22"/>
          <w:szCs w:val="22"/>
        </w:rPr>
        <w:t>,</w:t>
      </w:r>
      <w:r w:rsidR="00091E2E" w:rsidRPr="002F777D">
        <w:rPr>
          <w:rFonts w:ascii="Calibri" w:hAnsi="Calibri"/>
          <w:i/>
          <w:sz w:val="22"/>
          <w:szCs w:val="22"/>
        </w:rPr>
        <w:t xml:space="preserve"> </w:t>
      </w:r>
      <w:r w:rsidR="002F777D" w:rsidRPr="002F777D">
        <w:rPr>
          <w:rFonts w:ascii="Calibri" w:hAnsi="Calibri"/>
          <w:sz w:val="22"/>
          <w:szCs w:val="22"/>
        </w:rPr>
        <w:t>the</w:t>
      </w:r>
      <w:r w:rsidR="00091E2E" w:rsidRPr="002F777D">
        <w:rPr>
          <w:rFonts w:ascii="Calibri" w:hAnsi="Calibri"/>
          <w:sz w:val="22"/>
          <w:szCs w:val="22"/>
        </w:rPr>
        <w:t xml:space="preserve"> insurer </w:t>
      </w:r>
      <w:r w:rsidR="00895F14" w:rsidRPr="002F777D">
        <w:rPr>
          <w:rFonts w:ascii="Calibri" w:hAnsi="Calibri"/>
          <w:sz w:val="22"/>
          <w:szCs w:val="22"/>
        </w:rPr>
        <w:t>of</w:t>
      </w:r>
      <w:r w:rsidR="00091E2E" w:rsidRPr="002F777D">
        <w:rPr>
          <w:rFonts w:ascii="Calibri" w:hAnsi="Calibri"/>
          <w:sz w:val="22"/>
          <w:szCs w:val="22"/>
        </w:rPr>
        <w:t xml:space="preserve"> a property owner sued the property manager for indemnity and breach of contract, arising from a property damage judgment a commercial tenant obtained against the property owner and manager in the underlying action. The court held that the insurer was barred by the </w:t>
      </w:r>
      <w:r w:rsidR="00AC75FE">
        <w:rPr>
          <w:rFonts w:ascii="Calibri" w:hAnsi="Calibri"/>
          <w:sz w:val="22"/>
          <w:szCs w:val="22"/>
        </w:rPr>
        <w:t>ASR</w:t>
      </w:r>
      <w:r w:rsidR="002F777D" w:rsidRPr="002F777D">
        <w:rPr>
          <w:rFonts w:ascii="Calibri" w:hAnsi="Calibri"/>
          <w:sz w:val="22"/>
          <w:szCs w:val="22"/>
        </w:rPr>
        <w:t xml:space="preserve"> </w:t>
      </w:r>
      <w:r w:rsidR="00091E2E" w:rsidRPr="002F777D">
        <w:rPr>
          <w:rFonts w:ascii="Calibri" w:hAnsi="Calibri"/>
          <w:sz w:val="22"/>
          <w:szCs w:val="22"/>
        </w:rPr>
        <w:t>because the insurer clearly covered the property manager for the conduct that gave rise to its liability, and the fact that the coverage was excess to manager</w:t>
      </w:r>
      <w:r w:rsidR="002F777D" w:rsidRPr="002F777D">
        <w:rPr>
          <w:rFonts w:ascii="Calibri" w:hAnsi="Calibri"/>
          <w:sz w:val="22"/>
          <w:szCs w:val="22"/>
        </w:rPr>
        <w:t>’</w:t>
      </w:r>
      <w:r w:rsidR="00091E2E" w:rsidRPr="002F777D">
        <w:rPr>
          <w:rFonts w:ascii="Calibri" w:hAnsi="Calibri"/>
          <w:sz w:val="22"/>
          <w:szCs w:val="22"/>
        </w:rPr>
        <w:t>s primary insurance did n</w:t>
      </w:r>
      <w:r w:rsidR="002F777D" w:rsidRPr="002F777D">
        <w:rPr>
          <w:rFonts w:ascii="Calibri" w:hAnsi="Calibri"/>
          <w:sz w:val="22"/>
          <w:szCs w:val="22"/>
        </w:rPr>
        <w:t>ot amount to an exclusion. The c</w:t>
      </w:r>
      <w:r w:rsidR="00091E2E" w:rsidRPr="002F777D">
        <w:rPr>
          <w:rFonts w:ascii="Calibri" w:hAnsi="Calibri"/>
          <w:sz w:val="22"/>
          <w:szCs w:val="22"/>
        </w:rPr>
        <w:t>ourt discussed the “no-coverage” exception. If an insurer pays on behalf of one insured for damage caused by a second insured, under a policy that does not cover the second insured for the loss, the insurer may recover from the second insured by subrogation. This exception is sometimes called</w:t>
      </w:r>
      <w:r w:rsidR="002F777D" w:rsidRPr="002F777D">
        <w:rPr>
          <w:rFonts w:ascii="Calibri" w:hAnsi="Calibri"/>
          <w:sz w:val="22"/>
          <w:szCs w:val="22"/>
        </w:rPr>
        <w:t xml:space="preserve"> the “no-coverage exception.”</w:t>
      </w:r>
    </w:p>
    <w:p w14:paraId="4B1BBBF0" w14:textId="2588A5C1" w:rsidR="00C36F26" w:rsidRDefault="00C36F26" w:rsidP="00696E3D">
      <w:pPr>
        <w:spacing w:before="120" w:after="120"/>
        <w:jc w:val="both"/>
        <w:rPr>
          <w:rFonts w:ascii="Calibri" w:hAnsi="Calibri"/>
          <w:sz w:val="22"/>
          <w:szCs w:val="22"/>
        </w:rPr>
      </w:pPr>
      <w:r w:rsidRPr="00C36F26">
        <w:rPr>
          <w:rFonts w:ascii="Calibri" w:hAnsi="Calibri"/>
          <w:sz w:val="22"/>
          <w:szCs w:val="22"/>
        </w:rPr>
        <w:t>Colorado has an anti-indemnity statute (§ 13-21-111.5(6)) which prohibits one entity from contracting with another to obtain additional-insured coverage for liabilities arising from the former’s own negligence. Any promise to provide such additional insured coverage is unenforceable and the CGL Policy will not cover the second entity if the second entity’s negligence cause the loss. In such a case, the anti-</w:t>
      </w:r>
      <w:r w:rsidRPr="00C36F26">
        <w:rPr>
          <w:rFonts w:ascii="Calibri" w:hAnsi="Calibri"/>
          <w:bCs/>
          <w:sz w:val="22"/>
          <w:szCs w:val="22"/>
        </w:rPr>
        <w:t>subrogation</w:t>
      </w:r>
      <w:r w:rsidRPr="00C36F26">
        <w:rPr>
          <w:rFonts w:ascii="Calibri" w:hAnsi="Calibri"/>
          <w:sz w:val="22"/>
          <w:szCs w:val="22"/>
        </w:rPr>
        <w:t xml:space="preserve"> rule is inapplicable. </w:t>
      </w:r>
      <w:r w:rsidRPr="00C36F26">
        <w:rPr>
          <w:rFonts w:ascii="Calibri" w:hAnsi="Calibri"/>
          <w:i/>
          <w:sz w:val="22"/>
          <w:szCs w:val="22"/>
        </w:rPr>
        <w:t xml:space="preserve">Higby Crane Services, LLC v. DCP Midstream, L.P., </w:t>
      </w:r>
      <w:r w:rsidRPr="00C36F26">
        <w:rPr>
          <w:rFonts w:ascii="Calibri" w:hAnsi="Calibri"/>
          <w:sz w:val="22"/>
          <w:szCs w:val="22"/>
        </w:rPr>
        <w:t>2017 WL 3495478 (10</w:t>
      </w:r>
      <w:r w:rsidRPr="00C36F26">
        <w:rPr>
          <w:rFonts w:ascii="Calibri" w:hAnsi="Calibri"/>
          <w:sz w:val="22"/>
          <w:szCs w:val="22"/>
          <w:vertAlign w:val="superscript"/>
        </w:rPr>
        <w:t>th</w:t>
      </w:r>
      <w:r w:rsidRPr="00C36F26">
        <w:rPr>
          <w:rFonts w:ascii="Calibri" w:hAnsi="Calibri"/>
          <w:sz w:val="22"/>
          <w:szCs w:val="22"/>
        </w:rPr>
        <w:t xml:space="preserve"> Cir. 2017).</w:t>
      </w:r>
    </w:p>
    <w:p w14:paraId="488A5D82" w14:textId="77777777" w:rsidR="00F35902" w:rsidRDefault="00F35902" w:rsidP="00F35902">
      <w:pPr>
        <w:spacing w:before="120" w:after="120"/>
        <w:jc w:val="both"/>
        <w:rPr>
          <w:rFonts w:ascii="Calibri" w:hAnsi="Calibri"/>
          <w:sz w:val="22"/>
          <w:szCs w:val="22"/>
        </w:rPr>
      </w:pPr>
      <w:r w:rsidRPr="00F35902">
        <w:rPr>
          <w:rFonts w:ascii="Calibri" w:hAnsi="Calibri"/>
          <w:sz w:val="22"/>
          <w:szCs w:val="22"/>
        </w:rPr>
        <w:t xml:space="preserve">In </w:t>
      </w:r>
      <w:r w:rsidRPr="00F35902">
        <w:rPr>
          <w:rFonts w:ascii="Calibri" w:hAnsi="Calibri"/>
          <w:i/>
          <w:sz w:val="22"/>
          <w:szCs w:val="22"/>
        </w:rPr>
        <w:t xml:space="preserve">Higby Crane Servs., LLC v. </w:t>
      </w:r>
      <w:proofErr w:type="spellStart"/>
      <w:r w:rsidRPr="00F35902">
        <w:rPr>
          <w:rFonts w:ascii="Calibri" w:hAnsi="Calibri"/>
          <w:i/>
          <w:sz w:val="22"/>
          <w:szCs w:val="22"/>
        </w:rPr>
        <w:t>Nat</w:t>
      </w:r>
      <w:r w:rsidR="00C35C2E">
        <w:rPr>
          <w:rFonts w:ascii="Calibri" w:hAnsi="Calibri"/>
          <w:i/>
          <w:sz w:val="22"/>
          <w:szCs w:val="22"/>
        </w:rPr>
        <w:t>’</w:t>
      </w:r>
      <w:r w:rsidRPr="00F35902">
        <w:rPr>
          <w:rFonts w:ascii="Calibri" w:hAnsi="Calibri"/>
          <w:i/>
          <w:sz w:val="22"/>
          <w:szCs w:val="22"/>
        </w:rPr>
        <w:t>l</w:t>
      </w:r>
      <w:proofErr w:type="spellEnd"/>
      <w:r w:rsidRPr="00F35902">
        <w:rPr>
          <w:rFonts w:ascii="Calibri" w:hAnsi="Calibri"/>
          <w:i/>
          <w:sz w:val="22"/>
          <w:szCs w:val="22"/>
        </w:rPr>
        <w:t xml:space="preserve"> Helium, LLC</w:t>
      </w:r>
      <w:r w:rsidRPr="00F35902">
        <w:rPr>
          <w:rFonts w:ascii="Calibri" w:hAnsi="Calibri"/>
          <w:sz w:val="22"/>
          <w:szCs w:val="22"/>
        </w:rPr>
        <w:t>, 2017 WL 3495478 (10</w:t>
      </w:r>
      <w:r w:rsidRPr="0058744C">
        <w:rPr>
          <w:rFonts w:ascii="Calibri" w:hAnsi="Calibri"/>
          <w:sz w:val="22"/>
          <w:szCs w:val="22"/>
          <w:vertAlign w:val="superscript"/>
        </w:rPr>
        <w:t>th</w:t>
      </w:r>
      <w:r w:rsidR="00C35C2E">
        <w:rPr>
          <w:rFonts w:ascii="Calibri" w:hAnsi="Calibri"/>
          <w:sz w:val="22"/>
          <w:szCs w:val="22"/>
        </w:rPr>
        <w:t xml:space="preserve"> </w:t>
      </w:r>
      <w:r w:rsidRPr="00F35902">
        <w:rPr>
          <w:rFonts w:ascii="Calibri" w:hAnsi="Calibri"/>
          <w:sz w:val="22"/>
          <w:szCs w:val="22"/>
        </w:rPr>
        <w:t>Cir. 2017), DCP Midstream, LP started a fire that damaged a crane belonging to Higby Crane Services, LLC. At the time of the fire, the crane was located on the grounds of a gas processing plant owned by DCP</w:t>
      </w:r>
      <w:r w:rsidR="00C35C2E">
        <w:rPr>
          <w:rFonts w:ascii="Calibri" w:hAnsi="Calibri"/>
          <w:sz w:val="22"/>
          <w:szCs w:val="22"/>
        </w:rPr>
        <w:t>’</w:t>
      </w:r>
      <w:r w:rsidRPr="00F35902">
        <w:rPr>
          <w:rFonts w:ascii="Calibri" w:hAnsi="Calibri"/>
          <w:sz w:val="22"/>
          <w:szCs w:val="22"/>
        </w:rPr>
        <w:t>s wholly</w:t>
      </w:r>
      <w:r w:rsidR="00C35C2E">
        <w:rPr>
          <w:rFonts w:ascii="Calibri" w:hAnsi="Calibri"/>
          <w:sz w:val="22"/>
          <w:szCs w:val="22"/>
        </w:rPr>
        <w:t>-</w:t>
      </w:r>
      <w:r w:rsidRPr="00F35902">
        <w:rPr>
          <w:rFonts w:ascii="Calibri" w:hAnsi="Calibri"/>
          <w:sz w:val="22"/>
          <w:szCs w:val="22"/>
        </w:rPr>
        <w:t>owned subsidiary, National Helium, LLC. Higby</w:t>
      </w:r>
      <w:r w:rsidR="00C35C2E">
        <w:rPr>
          <w:rFonts w:ascii="Calibri" w:hAnsi="Calibri"/>
          <w:sz w:val="22"/>
          <w:szCs w:val="22"/>
        </w:rPr>
        <w:t>’</w:t>
      </w:r>
      <w:r w:rsidRPr="00F35902">
        <w:rPr>
          <w:rFonts w:ascii="Calibri" w:hAnsi="Calibri"/>
          <w:sz w:val="22"/>
          <w:szCs w:val="22"/>
        </w:rPr>
        <w:t xml:space="preserve">s insurer, National Interstate Insurance Co., paid for the damage under the terms of a commercial inland marine policy. National and Higby then sued DCP, seeking to recover the cost to repair the crane. DCP argued that the </w:t>
      </w:r>
      <w:r w:rsidR="00C35C2E" w:rsidRPr="00F35902">
        <w:rPr>
          <w:rFonts w:ascii="Calibri" w:hAnsi="Calibri"/>
          <w:sz w:val="22"/>
          <w:szCs w:val="22"/>
        </w:rPr>
        <w:t xml:space="preserve">Anti-Subrogation Rule </w:t>
      </w:r>
      <w:r w:rsidRPr="00F35902">
        <w:rPr>
          <w:rFonts w:ascii="Calibri" w:hAnsi="Calibri"/>
          <w:sz w:val="22"/>
          <w:szCs w:val="22"/>
        </w:rPr>
        <w:t>barred recovery by National against DCP because DCP was National</w:t>
      </w:r>
      <w:r w:rsidR="00C35C2E">
        <w:rPr>
          <w:rFonts w:ascii="Calibri" w:hAnsi="Calibri"/>
          <w:sz w:val="22"/>
          <w:szCs w:val="22"/>
        </w:rPr>
        <w:t>’</w:t>
      </w:r>
      <w:r w:rsidRPr="00F35902">
        <w:rPr>
          <w:rFonts w:ascii="Calibri" w:hAnsi="Calibri"/>
          <w:sz w:val="22"/>
          <w:szCs w:val="22"/>
        </w:rPr>
        <w:t>s insured under a commercial general liability policy that also covered the loss. Plaintiffs argued that the CGL Policy cannot cover DCP for the loss at issue because the Additional Insured Provision is void under Colorado</w:t>
      </w:r>
      <w:r w:rsidR="00C35C2E">
        <w:rPr>
          <w:rFonts w:ascii="Calibri" w:hAnsi="Calibri"/>
          <w:sz w:val="22"/>
          <w:szCs w:val="22"/>
        </w:rPr>
        <w:t>’</w:t>
      </w:r>
      <w:r w:rsidRPr="00F35902">
        <w:rPr>
          <w:rFonts w:ascii="Calibri" w:hAnsi="Calibri"/>
          <w:sz w:val="22"/>
          <w:szCs w:val="22"/>
        </w:rPr>
        <w:t>s Anti</w:t>
      </w:r>
      <w:r w:rsidR="00C35C2E">
        <w:rPr>
          <w:rFonts w:ascii="Calibri" w:hAnsi="Calibri"/>
          <w:sz w:val="22"/>
          <w:szCs w:val="22"/>
        </w:rPr>
        <w:t>-</w:t>
      </w:r>
      <w:r w:rsidRPr="00F35902">
        <w:rPr>
          <w:rFonts w:ascii="Calibri" w:hAnsi="Calibri"/>
          <w:sz w:val="22"/>
          <w:szCs w:val="22"/>
        </w:rPr>
        <w:t>Indemnification Statute which bars a construction business from contracting out liability for its own negligence.</w:t>
      </w:r>
      <w:r w:rsidR="00C35C2E">
        <w:rPr>
          <w:rFonts w:ascii="Calibri" w:hAnsi="Calibri"/>
          <w:sz w:val="22"/>
          <w:szCs w:val="22"/>
        </w:rPr>
        <w:t xml:space="preserve"> </w:t>
      </w:r>
      <w:r w:rsidRPr="00F35902">
        <w:rPr>
          <w:rFonts w:ascii="Calibri" w:hAnsi="Calibri"/>
          <w:sz w:val="22"/>
          <w:szCs w:val="22"/>
        </w:rPr>
        <w:t>The court held that the CGL Policy did not cover DCP under the circumstances of this case. Consequently, DCP is not National</w:t>
      </w:r>
      <w:r w:rsidR="00C35C2E">
        <w:rPr>
          <w:rFonts w:ascii="Calibri" w:hAnsi="Calibri"/>
          <w:sz w:val="22"/>
          <w:szCs w:val="22"/>
        </w:rPr>
        <w:t>’</w:t>
      </w:r>
      <w:r w:rsidRPr="00F35902">
        <w:rPr>
          <w:rFonts w:ascii="Calibri" w:hAnsi="Calibri"/>
          <w:sz w:val="22"/>
          <w:szCs w:val="22"/>
        </w:rPr>
        <w:t xml:space="preserve">s insured for the loss at issue and the </w:t>
      </w:r>
      <w:r w:rsidR="00C35C2E" w:rsidRPr="00F35902">
        <w:rPr>
          <w:rFonts w:ascii="Calibri" w:hAnsi="Calibri"/>
          <w:sz w:val="22"/>
          <w:szCs w:val="22"/>
        </w:rPr>
        <w:t>Anti-</w:t>
      </w:r>
      <w:r w:rsidR="00C35C2E" w:rsidRPr="00F35902">
        <w:rPr>
          <w:rFonts w:ascii="Calibri" w:hAnsi="Calibri"/>
          <w:bCs/>
          <w:sz w:val="22"/>
          <w:szCs w:val="22"/>
        </w:rPr>
        <w:t>Subrogation</w:t>
      </w:r>
      <w:r w:rsidR="00C35C2E">
        <w:rPr>
          <w:rFonts w:ascii="Calibri" w:hAnsi="Calibri"/>
          <w:sz w:val="22"/>
          <w:szCs w:val="22"/>
        </w:rPr>
        <w:t xml:space="preserve"> </w:t>
      </w:r>
      <w:r w:rsidR="00C35C2E" w:rsidRPr="00F35902">
        <w:rPr>
          <w:rFonts w:ascii="Calibri" w:hAnsi="Calibri"/>
          <w:sz w:val="22"/>
          <w:szCs w:val="22"/>
        </w:rPr>
        <w:t xml:space="preserve">Rule </w:t>
      </w:r>
      <w:r w:rsidRPr="00F35902">
        <w:rPr>
          <w:rFonts w:ascii="Calibri" w:hAnsi="Calibri"/>
          <w:sz w:val="22"/>
          <w:szCs w:val="22"/>
        </w:rPr>
        <w:t>is inapplicable.</w:t>
      </w:r>
    </w:p>
    <w:p w14:paraId="2D6C232C" w14:textId="46AF338A" w:rsidR="0071735E" w:rsidRDefault="0071735E" w:rsidP="0071735E">
      <w:pPr>
        <w:spacing w:before="120" w:after="120"/>
        <w:jc w:val="both"/>
        <w:rPr>
          <w:rFonts w:ascii="Calibri" w:hAnsi="Calibri"/>
          <w:sz w:val="22"/>
          <w:szCs w:val="22"/>
        </w:rPr>
      </w:pPr>
      <w:r>
        <w:rPr>
          <w:rFonts w:ascii="Calibri" w:hAnsi="Calibri"/>
          <w:sz w:val="22"/>
          <w:szCs w:val="22"/>
        </w:rPr>
        <w:t xml:space="preserve">An interesting and rare discussion of the anti-subrogation rule in the context of a criminal case occurred recently in the case of </w:t>
      </w:r>
      <w:r w:rsidRPr="0095556A">
        <w:rPr>
          <w:rFonts w:ascii="Calibri" w:hAnsi="Calibri"/>
          <w:i/>
          <w:iCs/>
          <w:sz w:val="22"/>
          <w:szCs w:val="22"/>
        </w:rPr>
        <w:t>People v. Trujillo</w:t>
      </w:r>
      <w:r w:rsidRPr="0071735E">
        <w:rPr>
          <w:rFonts w:ascii="Calibri" w:hAnsi="Calibri"/>
          <w:sz w:val="22"/>
          <w:szCs w:val="22"/>
        </w:rPr>
        <w:t>, 2024 WL 3812333 (Colo. App. 2024)</w:t>
      </w:r>
      <w:r>
        <w:rPr>
          <w:rFonts w:ascii="Calibri" w:hAnsi="Calibri"/>
          <w:sz w:val="22"/>
          <w:szCs w:val="22"/>
        </w:rPr>
        <w:t>. In that case, Trujillo led police on a high-speed chase in a vehicle</w:t>
      </w:r>
      <w:r w:rsidR="00C426EE">
        <w:rPr>
          <w:rFonts w:ascii="Calibri" w:hAnsi="Calibri"/>
          <w:sz w:val="22"/>
          <w:szCs w:val="22"/>
        </w:rPr>
        <w:t xml:space="preserve">, insured </w:t>
      </w:r>
      <w:r>
        <w:rPr>
          <w:rFonts w:ascii="Calibri" w:hAnsi="Calibri"/>
          <w:sz w:val="22"/>
          <w:szCs w:val="22"/>
        </w:rPr>
        <w:t>by CUNA Mutual Group</w:t>
      </w:r>
      <w:r w:rsidR="00C426EE">
        <w:rPr>
          <w:rFonts w:ascii="Calibri" w:hAnsi="Calibri"/>
          <w:sz w:val="22"/>
          <w:szCs w:val="22"/>
        </w:rPr>
        <w:t xml:space="preserve"> because it was collateral in a vehicle loan</w:t>
      </w:r>
      <w:r>
        <w:rPr>
          <w:rFonts w:ascii="Calibri" w:hAnsi="Calibri"/>
          <w:sz w:val="22"/>
          <w:szCs w:val="22"/>
        </w:rPr>
        <w:t>, ending in a crash which damaged a home and the vehicle he was driving. The prosecutor filed a Motion for Restitution for damages caused by Trujillo, including damage to the vehicle he drove, in the amount of $3,398.23. Trujillo opposed the restitution because he argued that he was given permission to drive the vehicle by the owner—CUNA’s insured—and was therefore an insured himself while he was driving it. Trujillo argued that the anti-subrogation rule prohibited CUNA from subrogating against him (through the CUNA restitution order)</w:t>
      </w:r>
      <w:r w:rsidR="00C426EE">
        <w:rPr>
          <w:rFonts w:ascii="Calibri" w:hAnsi="Calibri"/>
          <w:sz w:val="22"/>
          <w:szCs w:val="22"/>
        </w:rPr>
        <w:t xml:space="preserve"> because he was considered an insured under the policy. The court ended up determining that the CUNA policy exempted the vehicle owner from coverage because it was only for damage to collateral under a loan rather than for the type of damage a liability policy would cover; and they held that </w:t>
      </w:r>
      <w:r w:rsidR="00C426EE" w:rsidRPr="00C426EE">
        <w:rPr>
          <w:rFonts w:ascii="Calibri" w:hAnsi="Calibri"/>
          <w:sz w:val="22"/>
          <w:szCs w:val="22"/>
        </w:rPr>
        <w:t>that Trujillo was not entitled to the benefit of the CUNA policy under the anti</w:t>
      </w:r>
      <w:r w:rsidR="00C426EE">
        <w:rPr>
          <w:rFonts w:ascii="Calibri" w:hAnsi="Calibri"/>
          <w:sz w:val="22"/>
          <w:szCs w:val="22"/>
        </w:rPr>
        <w:t>-</w:t>
      </w:r>
      <w:r w:rsidR="00C426EE" w:rsidRPr="00C426EE">
        <w:rPr>
          <w:rFonts w:ascii="Calibri" w:hAnsi="Calibri"/>
          <w:sz w:val="22"/>
          <w:szCs w:val="22"/>
        </w:rPr>
        <w:t>subrogation rule</w:t>
      </w:r>
      <w:r w:rsidR="0095556A">
        <w:rPr>
          <w:rFonts w:ascii="Calibri" w:hAnsi="Calibri"/>
          <w:sz w:val="22"/>
          <w:szCs w:val="22"/>
        </w:rPr>
        <w:t>.</w:t>
      </w:r>
    </w:p>
    <w:p w14:paraId="1B2DAA56" w14:textId="73E16E54" w:rsidR="00AD57ED" w:rsidRPr="00F35902" w:rsidRDefault="00AD57ED" w:rsidP="0071735E">
      <w:pPr>
        <w:spacing w:before="120" w:after="120"/>
        <w:jc w:val="both"/>
        <w:rPr>
          <w:rFonts w:ascii="Calibri" w:hAnsi="Calibri"/>
          <w:sz w:val="22"/>
          <w:szCs w:val="22"/>
        </w:rPr>
      </w:pPr>
      <w:r>
        <w:rPr>
          <w:rFonts w:ascii="Calibri" w:hAnsi="Calibri"/>
          <w:sz w:val="22"/>
          <w:szCs w:val="22"/>
        </w:rPr>
        <w:t>Colorado has something known as</w:t>
      </w:r>
      <w:r w:rsidRPr="00AD57ED">
        <w:rPr>
          <w:rFonts w:ascii="Calibri" w:hAnsi="Calibri"/>
          <w:sz w:val="22"/>
          <w:szCs w:val="22"/>
        </w:rPr>
        <w:t xml:space="preserve"> the “no-coverage exception” to the anti-subrogation rule</w:t>
      </w:r>
      <w:r>
        <w:rPr>
          <w:rFonts w:ascii="Calibri" w:hAnsi="Calibri"/>
          <w:sz w:val="22"/>
          <w:szCs w:val="22"/>
        </w:rPr>
        <w:t>. This exc</w:t>
      </w:r>
      <w:r w:rsidRPr="00AD57ED">
        <w:rPr>
          <w:rFonts w:ascii="Calibri" w:hAnsi="Calibri"/>
          <w:sz w:val="22"/>
          <w:szCs w:val="22"/>
        </w:rPr>
        <w:t>eption provides that, where there are two insureds on a policy, and one insured causes damage for which the insurer is liable to the other insured, the insurer may seek subrogation against the insured who caused the damage if the policy's coverage does not cover the insured's actions that caused the damage.</w:t>
      </w:r>
      <w:r>
        <w:rPr>
          <w:rFonts w:ascii="Calibri" w:hAnsi="Calibri"/>
          <w:sz w:val="22"/>
          <w:szCs w:val="22"/>
        </w:rPr>
        <w:t xml:space="preserve"> </w:t>
      </w:r>
      <w:r w:rsidRPr="00AD57ED">
        <w:rPr>
          <w:rFonts w:ascii="Calibri" w:hAnsi="Calibri"/>
          <w:i/>
          <w:iCs/>
          <w:sz w:val="22"/>
          <w:szCs w:val="22"/>
        </w:rPr>
        <w:t xml:space="preserve">Cont'l Divide Ins. Co. v. W. Skies Mgmt., Inc., </w:t>
      </w:r>
      <w:r w:rsidRPr="002B3055">
        <w:rPr>
          <w:rFonts w:ascii="Calibri" w:hAnsi="Calibri"/>
          <w:sz w:val="22"/>
          <w:szCs w:val="22"/>
        </w:rPr>
        <w:t>107 P.3d 1145 (Colo. App. 2004).</w:t>
      </w:r>
      <w:r>
        <w:rPr>
          <w:rFonts w:ascii="Calibri" w:hAnsi="Calibri"/>
          <w:sz w:val="22"/>
          <w:szCs w:val="22"/>
        </w:rPr>
        <w:t xml:space="preserve"> That court said, “</w:t>
      </w:r>
      <w:r w:rsidRPr="00AD57ED">
        <w:rPr>
          <w:rFonts w:ascii="Calibri" w:hAnsi="Calibri"/>
          <w:sz w:val="22"/>
          <w:szCs w:val="22"/>
        </w:rPr>
        <w:t xml:space="preserve">If an insurer pays on behalf of one insured for damage caused by a second insured, </w:t>
      </w:r>
      <w:r w:rsidRPr="00AD57ED">
        <w:rPr>
          <w:rFonts w:ascii="Calibri" w:hAnsi="Calibri"/>
          <w:i/>
          <w:iCs/>
          <w:sz w:val="22"/>
          <w:szCs w:val="22"/>
        </w:rPr>
        <w:t>under a policy that does not cover the second insured for the loss</w:t>
      </w:r>
      <w:r w:rsidRPr="00AD57ED">
        <w:rPr>
          <w:rFonts w:ascii="Calibri" w:hAnsi="Calibri"/>
          <w:sz w:val="22"/>
          <w:szCs w:val="22"/>
        </w:rPr>
        <w:t>, the insurer may recover from the second insured by subrogation.”</w:t>
      </w:r>
      <w:r>
        <w:rPr>
          <w:rFonts w:ascii="Calibri" w:hAnsi="Calibri"/>
          <w:sz w:val="22"/>
          <w:szCs w:val="22"/>
        </w:rPr>
        <w:t xml:space="preserve"> </w:t>
      </w:r>
      <w:r w:rsidRPr="002B3055">
        <w:rPr>
          <w:rFonts w:ascii="Calibri" w:hAnsi="Calibri"/>
          <w:i/>
          <w:iCs/>
          <w:sz w:val="22"/>
          <w:szCs w:val="22"/>
        </w:rPr>
        <w:t>Praetorian Ins. Co. v. Axia Contracting, LLC.,</w:t>
      </w:r>
      <w:r>
        <w:rPr>
          <w:rFonts w:ascii="Calibri" w:hAnsi="Calibri"/>
          <w:sz w:val="22"/>
          <w:szCs w:val="22"/>
        </w:rPr>
        <w:t xml:space="preserve"> 20</w:t>
      </w:r>
      <w:r w:rsidRPr="00AD57ED">
        <w:rPr>
          <w:rFonts w:ascii="Calibri" w:hAnsi="Calibri"/>
          <w:sz w:val="22"/>
          <w:szCs w:val="22"/>
        </w:rPr>
        <w:t xml:space="preserve">24 WL 4696104 (D. Colo. </w:t>
      </w:r>
      <w:r>
        <w:rPr>
          <w:rFonts w:ascii="Calibri" w:hAnsi="Calibri"/>
          <w:sz w:val="22"/>
          <w:szCs w:val="22"/>
        </w:rPr>
        <w:t>2</w:t>
      </w:r>
      <w:r w:rsidRPr="00AD57ED">
        <w:rPr>
          <w:rFonts w:ascii="Calibri" w:hAnsi="Calibri"/>
          <w:sz w:val="22"/>
          <w:szCs w:val="22"/>
        </w:rPr>
        <w:t>024)</w:t>
      </w:r>
      <w:r>
        <w:rPr>
          <w:rFonts w:ascii="Calibri" w:hAnsi="Calibri"/>
          <w:sz w:val="22"/>
          <w:szCs w:val="22"/>
        </w:rPr>
        <w:t xml:space="preserve">. </w:t>
      </w:r>
    </w:p>
    <w:p w14:paraId="7F322EFF" w14:textId="77777777" w:rsidR="00A9055F" w:rsidRPr="008F013B" w:rsidRDefault="00935406" w:rsidP="002F777D">
      <w:pPr>
        <w:keepNext/>
        <w:spacing w:before="240" w:after="120"/>
        <w:rPr>
          <w:rFonts w:ascii="Calibri" w:hAnsi="Calibri"/>
          <w:b/>
          <w:color w:val="0F243E"/>
          <w:sz w:val="24"/>
          <w:szCs w:val="24"/>
        </w:rPr>
      </w:pPr>
      <w:r w:rsidRPr="008F013B">
        <w:rPr>
          <w:rFonts w:ascii="Calibri" w:hAnsi="Calibri"/>
          <w:b/>
          <w:color w:val="0F243E"/>
          <w:sz w:val="24"/>
          <w:szCs w:val="24"/>
          <w:u w:val="single"/>
        </w:rPr>
        <w:t>CONNECTICUT</w:t>
      </w:r>
    </w:p>
    <w:p w14:paraId="4341E69F" w14:textId="77777777" w:rsidR="00D121C0" w:rsidRPr="002F777D" w:rsidRDefault="00A9055F" w:rsidP="00AC75FE">
      <w:pPr>
        <w:spacing w:before="120" w:after="120"/>
        <w:jc w:val="both"/>
        <w:rPr>
          <w:rFonts w:ascii="Calibri" w:hAnsi="Calibri"/>
          <w:sz w:val="22"/>
          <w:szCs w:val="22"/>
        </w:rPr>
      </w:pPr>
      <w:r w:rsidRPr="002F777D">
        <w:rPr>
          <w:rFonts w:ascii="Calibri" w:hAnsi="Calibri"/>
          <w:sz w:val="22"/>
          <w:szCs w:val="22"/>
        </w:rPr>
        <w:t xml:space="preserve">An individual who contributes to the payments on the premium of a property insurance policy, and who would reasonably not expect to be the target of subrogation, is exempt from subrogation. </w:t>
      </w:r>
      <w:r w:rsidRPr="002F777D">
        <w:rPr>
          <w:rFonts w:ascii="Calibri" w:hAnsi="Calibri"/>
          <w:i/>
          <w:sz w:val="22"/>
          <w:szCs w:val="22"/>
        </w:rPr>
        <w:t>Allstate Ins. Co. v. Palumbo</w:t>
      </w:r>
      <w:r w:rsidRPr="002F777D">
        <w:rPr>
          <w:rFonts w:ascii="Calibri" w:hAnsi="Calibri"/>
          <w:sz w:val="22"/>
          <w:szCs w:val="22"/>
        </w:rPr>
        <w:t xml:space="preserve">, 994 A.2d 174 (Conn. 2010). A home insurer can seek equitable subrogation against a houseguest who negligently burns down a home. </w:t>
      </w:r>
      <w:r w:rsidRPr="002F777D">
        <w:rPr>
          <w:rFonts w:ascii="Calibri" w:hAnsi="Calibri"/>
          <w:i/>
          <w:sz w:val="22"/>
          <w:szCs w:val="22"/>
        </w:rPr>
        <w:t>Wasko v. Manella</w:t>
      </w:r>
      <w:r w:rsidRPr="002F777D">
        <w:rPr>
          <w:rFonts w:ascii="Calibri" w:hAnsi="Calibri"/>
          <w:sz w:val="22"/>
          <w:szCs w:val="22"/>
        </w:rPr>
        <w:t xml:space="preserve">, 849 A.2d 777 (Conn. 2004). </w:t>
      </w:r>
      <w:r w:rsidR="002F777D" w:rsidRPr="002F777D">
        <w:rPr>
          <w:rFonts w:ascii="Calibri" w:hAnsi="Calibri"/>
          <w:sz w:val="22"/>
          <w:szCs w:val="22"/>
        </w:rPr>
        <w:t xml:space="preserve">In </w:t>
      </w:r>
      <w:r w:rsidRPr="002F777D">
        <w:rPr>
          <w:rFonts w:ascii="Calibri" w:hAnsi="Calibri"/>
          <w:i/>
          <w:sz w:val="22"/>
          <w:szCs w:val="22"/>
        </w:rPr>
        <w:t>Palumbo</w:t>
      </w:r>
      <w:r w:rsidRPr="002F777D">
        <w:rPr>
          <w:rFonts w:ascii="Calibri" w:hAnsi="Calibri"/>
          <w:sz w:val="22"/>
          <w:szCs w:val="22"/>
        </w:rPr>
        <w:t xml:space="preserve">, </w:t>
      </w:r>
      <w:r w:rsidR="002F777D" w:rsidRPr="002F777D">
        <w:rPr>
          <w:rFonts w:ascii="Calibri" w:hAnsi="Calibri"/>
          <w:sz w:val="22"/>
          <w:szCs w:val="22"/>
        </w:rPr>
        <w:t>a</w:t>
      </w:r>
      <w:r w:rsidRPr="002F777D">
        <w:rPr>
          <w:rFonts w:ascii="Calibri" w:hAnsi="Calibri"/>
          <w:sz w:val="22"/>
          <w:szCs w:val="22"/>
        </w:rPr>
        <w:t xml:space="preserve"> woman’s fiancé lived with her in the home that she owned. The fiancé negligently installed a water heater, which resulted in a fire that damaged the home. The </w:t>
      </w:r>
      <w:r w:rsidR="002F777D" w:rsidRPr="002F777D">
        <w:rPr>
          <w:rFonts w:ascii="Calibri" w:hAnsi="Calibri"/>
          <w:sz w:val="22"/>
          <w:szCs w:val="22"/>
        </w:rPr>
        <w:t>c</w:t>
      </w:r>
      <w:r w:rsidRPr="002F777D">
        <w:rPr>
          <w:rFonts w:ascii="Calibri" w:hAnsi="Calibri"/>
          <w:sz w:val="22"/>
          <w:szCs w:val="22"/>
        </w:rPr>
        <w:t xml:space="preserve">ourt ruled that equitable subrogation against the fiancé was impermissible because the fiancé contributed to payments on the homeowner’s insurance, had lived in the residence for an extended period, and likely would have believed that subrogation against him was </w:t>
      </w:r>
      <w:r w:rsidR="00285BF4" w:rsidRPr="002F777D">
        <w:rPr>
          <w:rFonts w:ascii="Calibri" w:hAnsi="Calibri"/>
          <w:sz w:val="22"/>
          <w:szCs w:val="22"/>
        </w:rPr>
        <w:t>im</w:t>
      </w:r>
      <w:r w:rsidR="002F777D" w:rsidRPr="002F777D">
        <w:rPr>
          <w:rFonts w:ascii="Calibri" w:hAnsi="Calibri"/>
          <w:sz w:val="22"/>
          <w:szCs w:val="22"/>
        </w:rPr>
        <w:t>possible.</w:t>
      </w:r>
      <w:r w:rsidR="00AC75FE">
        <w:rPr>
          <w:rFonts w:ascii="Calibri" w:hAnsi="Calibri"/>
          <w:sz w:val="22"/>
          <w:szCs w:val="22"/>
        </w:rPr>
        <w:t xml:space="preserve"> </w:t>
      </w:r>
      <w:r w:rsidR="002F777D" w:rsidRPr="002F777D">
        <w:rPr>
          <w:rFonts w:ascii="Calibri" w:hAnsi="Calibri"/>
          <w:sz w:val="22"/>
          <w:szCs w:val="22"/>
        </w:rPr>
        <w:t xml:space="preserve">In </w:t>
      </w:r>
      <w:r w:rsidRPr="002F777D">
        <w:rPr>
          <w:rFonts w:ascii="Calibri" w:hAnsi="Calibri"/>
          <w:i/>
          <w:sz w:val="22"/>
          <w:szCs w:val="22"/>
        </w:rPr>
        <w:t>Wasko</w:t>
      </w:r>
      <w:r w:rsidRPr="002F777D">
        <w:rPr>
          <w:rFonts w:ascii="Calibri" w:hAnsi="Calibri"/>
          <w:sz w:val="22"/>
          <w:szCs w:val="22"/>
        </w:rPr>
        <w:t xml:space="preserve">, </w:t>
      </w:r>
      <w:r w:rsidR="002F777D" w:rsidRPr="002F777D">
        <w:rPr>
          <w:rFonts w:ascii="Calibri" w:hAnsi="Calibri"/>
          <w:sz w:val="22"/>
          <w:szCs w:val="22"/>
        </w:rPr>
        <w:t>a</w:t>
      </w:r>
      <w:r w:rsidRPr="002F777D">
        <w:rPr>
          <w:rFonts w:ascii="Calibri" w:hAnsi="Calibri"/>
          <w:sz w:val="22"/>
          <w:szCs w:val="22"/>
        </w:rPr>
        <w:t xml:space="preserve"> houseguest negligently burned down a vacation home. The insurer brought a subrogation action against the guest, who argued that he was protected by the ASR because he was an implied co-insured on the homeowners’ policy. The </w:t>
      </w:r>
      <w:r w:rsidR="002F777D" w:rsidRPr="002F777D">
        <w:rPr>
          <w:rFonts w:ascii="Calibri" w:hAnsi="Calibri"/>
          <w:sz w:val="22"/>
          <w:szCs w:val="22"/>
        </w:rPr>
        <w:t>c</w:t>
      </w:r>
      <w:r w:rsidRPr="002F777D">
        <w:rPr>
          <w:rFonts w:ascii="Calibri" w:hAnsi="Calibri"/>
          <w:sz w:val="22"/>
          <w:szCs w:val="22"/>
        </w:rPr>
        <w:t>ourt ruled that although statutory subrogation was barred, equitable subrogation against the houseguest was still permissible.</w:t>
      </w:r>
    </w:p>
    <w:p w14:paraId="52393083" w14:textId="77777777" w:rsidR="006367E6" w:rsidRPr="008F013B" w:rsidRDefault="00935406" w:rsidP="002F777D">
      <w:pPr>
        <w:spacing w:before="240" w:after="120"/>
        <w:jc w:val="both"/>
        <w:rPr>
          <w:rFonts w:ascii="Calibri" w:hAnsi="Calibri"/>
          <w:b/>
          <w:color w:val="0F243E"/>
          <w:sz w:val="24"/>
          <w:szCs w:val="24"/>
        </w:rPr>
      </w:pPr>
      <w:r w:rsidRPr="008F013B">
        <w:rPr>
          <w:rFonts w:ascii="Calibri" w:hAnsi="Calibri"/>
          <w:b/>
          <w:color w:val="0F243E"/>
          <w:sz w:val="24"/>
          <w:szCs w:val="24"/>
          <w:u w:val="single"/>
        </w:rPr>
        <w:t>DELAWARE</w:t>
      </w:r>
    </w:p>
    <w:p w14:paraId="7706E7C1" w14:textId="77777777" w:rsidR="00D121C0" w:rsidRPr="002F777D" w:rsidRDefault="00A0609C" w:rsidP="00696E3D">
      <w:pPr>
        <w:spacing w:before="120" w:after="120"/>
        <w:jc w:val="both"/>
        <w:rPr>
          <w:rFonts w:ascii="Calibri" w:hAnsi="Calibri"/>
          <w:sz w:val="22"/>
          <w:szCs w:val="22"/>
        </w:rPr>
      </w:pPr>
      <w:r w:rsidRPr="002F777D">
        <w:rPr>
          <w:rFonts w:ascii="Calibri" w:hAnsi="Calibri"/>
          <w:sz w:val="22"/>
          <w:szCs w:val="22"/>
        </w:rPr>
        <w:t>An insurer has no right of subrogation against an insured, co-insured, or a wrongdoer who is an</w:t>
      </w:r>
      <w:r w:rsidR="002F777D" w:rsidRPr="002F777D">
        <w:rPr>
          <w:rFonts w:ascii="Calibri" w:hAnsi="Calibri"/>
          <w:sz w:val="22"/>
          <w:szCs w:val="22"/>
        </w:rPr>
        <w:t xml:space="preserve"> insured under the same policy.</w:t>
      </w:r>
      <w:r w:rsidRPr="002F777D">
        <w:rPr>
          <w:rFonts w:ascii="Calibri" w:hAnsi="Calibri"/>
          <w:sz w:val="22"/>
          <w:szCs w:val="22"/>
        </w:rPr>
        <w:t xml:space="preserve"> </w:t>
      </w:r>
      <w:r w:rsidRPr="002F777D">
        <w:rPr>
          <w:rFonts w:ascii="Calibri" w:hAnsi="Calibri"/>
          <w:i/>
          <w:sz w:val="22"/>
          <w:szCs w:val="22"/>
        </w:rPr>
        <w:t>Lexington Ins. Co. v. Raboin</w:t>
      </w:r>
      <w:r w:rsidRPr="002F777D">
        <w:rPr>
          <w:rFonts w:ascii="Calibri" w:hAnsi="Calibri"/>
          <w:sz w:val="22"/>
          <w:szCs w:val="22"/>
        </w:rPr>
        <w:t xml:space="preserve">, 712 A.2d 1011 (Del. 1998). If a joint tortfeasor is protected from subrogation because of the ASR, and other joint tortfeasors who are not protected by the ASR are sued by the insurer, the unprotected joint tortfeasors can sue the protected joint tortfeasor for contribution. </w:t>
      </w:r>
      <w:r w:rsidRPr="002F777D">
        <w:rPr>
          <w:rFonts w:ascii="Calibri" w:hAnsi="Calibri"/>
          <w:i/>
          <w:sz w:val="22"/>
          <w:szCs w:val="22"/>
        </w:rPr>
        <w:t>Great American Assur. Co. v. Fisher Controls Intern., Inc.,</w:t>
      </w:r>
      <w:r w:rsidR="002F777D" w:rsidRPr="002F777D">
        <w:rPr>
          <w:rFonts w:ascii="Calibri" w:hAnsi="Calibri"/>
          <w:sz w:val="22"/>
          <w:szCs w:val="22"/>
        </w:rPr>
        <w:t xml:space="preserve"> 2003 WL 21901094 (2003) (</w:t>
      </w:r>
      <w:r w:rsidR="002F777D" w:rsidRPr="002F777D">
        <w:rPr>
          <w:rFonts w:ascii="Calibri" w:hAnsi="Calibri"/>
          <w:i/>
          <w:sz w:val="22"/>
          <w:szCs w:val="22"/>
        </w:rPr>
        <w:t>u</w:t>
      </w:r>
      <w:r w:rsidRPr="002F777D">
        <w:rPr>
          <w:rFonts w:ascii="Calibri" w:hAnsi="Calibri"/>
          <w:i/>
          <w:sz w:val="22"/>
          <w:szCs w:val="22"/>
        </w:rPr>
        <w:t>npublished</w:t>
      </w:r>
      <w:r w:rsidRPr="002F777D">
        <w:rPr>
          <w:rFonts w:ascii="Calibri" w:hAnsi="Calibri"/>
          <w:sz w:val="22"/>
          <w:szCs w:val="22"/>
        </w:rPr>
        <w:t>)</w:t>
      </w:r>
      <w:r w:rsidR="002F777D" w:rsidRPr="002F777D">
        <w:rPr>
          <w:rFonts w:ascii="Calibri" w:hAnsi="Calibri"/>
          <w:sz w:val="22"/>
          <w:szCs w:val="22"/>
        </w:rPr>
        <w:t>;</w:t>
      </w:r>
      <w:r w:rsidRPr="002F777D">
        <w:rPr>
          <w:rFonts w:ascii="Calibri" w:hAnsi="Calibri"/>
          <w:sz w:val="22"/>
          <w:szCs w:val="22"/>
        </w:rPr>
        <w:t xml:space="preserve"> </w:t>
      </w:r>
      <w:r w:rsidRPr="002F777D">
        <w:rPr>
          <w:rFonts w:ascii="Calibri" w:hAnsi="Calibri"/>
          <w:i/>
          <w:sz w:val="22"/>
          <w:szCs w:val="22"/>
        </w:rPr>
        <w:t>Firemen’s Ins. Co. of Washington, D.C. v. Fire-Free Chimney Sweeps, Inc.</w:t>
      </w:r>
      <w:r w:rsidRPr="002F777D">
        <w:rPr>
          <w:rFonts w:ascii="Calibri" w:hAnsi="Calibri"/>
          <w:sz w:val="22"/>
          <w:szCs w:val="22"/>
        </w:rPr>
        <w:t>, 2010 WL 1268158 (2010) (</w:t>
      </w:r>
      <w:r w:rsidR="002F777D" w:rsidRPr="002F777D">
        <w:rPr>
          <w:rFonts w:ascii="Calibri" w:hAnsi="Calibri"/>
          <w:i/>
          <w:sz w:val="22"/>
          <w:szCs w:val="22"/>
        </w:rPr>
        <w:t>u</w:t>
      </w:r>
      <w:r w:rsidRPr="002F777D">
        <w:rPr>
          <w:rFonts w:ascii="Calibri" w:hAnsi="Calibri"/>
          <w:i/>
          <w:sz w:val="22"/>
          <w:szCs w:val="22"/>
        </w:rPr>
        <w:t>npublished</w:t>
      </w:r>
      <w:r w:rsidRPr="002F777D">
        <w:rPr>
          <w:rFonts w:ascii="Calibri" w:hAnsi="Calibri"/>
          <w:sz w:val="22"/>
          <w:szCs w:val="22"/>
        </w:rPr>
        <w:t xml:space="preserve">). </w:t>
      </w:r>
      <w:r w:rsidR="002F777D" w:rsidRPr="002F777D">
        <w:rPr>
          <w:rFonts w:ascii="Calibri" w:hAnsi="Calibri"/>
          <w:sz w:val="22"/>
          <w:szCs w:val="22"/>
        </w:rPr>
        <w:t xml:space="preserve">In </w:t>
      </w:r>
      <w:r w:rsidRPr="002F777D">
        <w:rPr>
          <w:rFonts w:ascii="Calibri" w:hAnsi="Calibri"/>
          <w:i/>
          <w:sz w:val="22"/>
          <w:szCs w:val="22"/>
        </w:rPr>
        <w:t>Fisher Controls Intern., Inc.,</w:t>
      </w:r>
      <w:r w:rsidRPr="002F777D">
        <w:rPr>
          <w:rFonts w:ascii="Calibri" w:hAnsi="Calibri"/>
          <w:sz w:val="22"/>
          <w:szCs w:val="22"/>
        </w:rPr>
        <w:t xml:space="preserve"> Great American Assurance Company (“Great American”) pa</w:t>
      </w:r>
      <w:r w:rsidR="00AC75FE">
        <w:rPr>
          <w:rFonts w:ascii="Calibri" w:hAnsi="Calibri"/>
          <w:sz w:val="22"/>
          <w:szCs w:val="22"/>
        </w:rPr>
        <w:t>id</w:t>
      </w:r>
      <w:r w:rsidRPr="002F777D">
        <w:rPr>
          <w:rFonts w:ascii="Calibri" w:hAnsi="Calibri"/>
          <w:sz w:val="22"/>
          <w:szCs w:val="22"/>
        </w:rPr>
        <w:t xml:space="preserve"> damages for a fire that br</w:t>
      </w:r>
      <w:r w:rsidR="00AC75FE">
        <w:rPr>
          <w:rFonts w:ascii="Calibri" w:hAnsi="Calibri"/>
          <w:sz w:val="22"/>
          <w:szCs w:val="22"/>
        </w:rPr>
        <w:t>oke</w:t>
      </w:r>
      <w:r w:rsidRPr="002F777D">
        <w:rPr>
          <w:rFonts w:ascii="Calibri" w:hAnsi="Calibri"/>
          <w:sz w:val="22"/>
          <w:szCs w:val="22"/>
        </w:rPr>
        <w:t xml:space="preserve"> out at a refiner</w:t>
      </w:r>
      <w:r w:rsidR="002F777D" w:rsidRPr="002F777D">
        <w:rPr>
          <w:rFonts w:ascii="Calibri" w:hAnsi="Calibri"/>
          <w:sz w:val="22"/>
          <w:szCs w:val="22"/>
        </w:rPr>
        <w:t xml:space="preserve">y during a renovation project. </w:t>
      </w:r>
      <w:r w:rsidR="00AC75FE">
        <w:rPr>
          <w:rFonts w:ascii="Calibri" w:hAnsi="Calibri"/>
          <w:sz w:val="22"/>
          <w:szCs w:val="22"/>
        </w:rPr>
        <w:t>Great American sued</w:t>
      </w:r>
      <w:r w:rsidRPr="002F777D">
        <w:rPr>
          <w:rFonts w:ascii="Calibri" w:hAnsi="Calibri"/>
          <w:sz w:val="22"/>
          <w:szCs w:val="22"/>
        </w:rPr>
        <w:t xml:space="preserve"> several subcontract</w:t>
      </w:r>
      <w:r w:rsidR="002F777D" w:rsidRPr="002F777D">
        <w:rPr>
          <w:rFonts w:ascii="Calibri" w:hAnsi="Calibri"/>
          <w:sz w:val="22"/>
          <w:szCs w:val="22"/>
        </w:rPr>
        <w:t>or</w:t>
      </w:r>
      <w:r w:rsidRPr="002F777D">
        <w:rPr>
          <w:rFonts w:ascii="Calibri" w:hAnsi="Calibri"/>
          <w:sz w:val="22"/>
          <w:szCs w:val="22"/>
        </w:rPr>
        <w:t xml:space="preserve">s alleging that they negligently started the fire. They drop the suit against one of the subcontractors, </w:t>
      </w:r>
      <w:proofErr w:type="spellStart"/>
      <w:r w:rsidRPr="002F777D">
        <w:rPr>
          <w:rFonts w:ascii="Calibri" w:hAnsi="Calibri"/>
          <w:sz w:val="22"/>
          <w:szCs w:val="22"/>
        </w:rPr>
        <w:t>Conectiv</w:t>
      </w:r>
      <w:proofErr w:type="spellEnd"/>
      <w:r w:rsidRPr="002F777D">
        <w:rPr>
          <w:rFonts w:ascii="Calibri" w:hAnsi="Calibri"/>
          <w:sz w:val="22"/>
          <w:szCs w:val="22"/>
        </w:rPr>
        <w:t xml:space="preserve">, after determining that </w:t>
      </w:r>
      <w:proofErr w:type="spellStart"/>
      <w:r w:rsidRPr="002F777D">
        <w:rPr>
          <w:rFonts w:ascii="Calibri" w:hAnsi="Calibri"/>
          <w:sz w:val="22"/>
          <w:szCs w:val="22"/>
        </w:rPr>
        <w:t>Conectiv</w:t>
      </w:r>
      <w:proofErr w:type="spellEnd"/>
      <w:r w:rsidRPr="002F777D">
        <w:rPr>
          <w:rFonts w:ascii="Calibri" w:hAnsi="Calibri"/>
          <w:sz w:val="22"/>
          <w:szCs w:val="22"/>
        </w:rPr>
        <w:t xml:space="preserve"> was an insured under the Great American policy and</w:t>
      </w:r>
      <w:r w:rsidR="002F777D" w:rsidRPr="002F777D">
        <w:rPr>
          <w:rFonts w:ascii="Calibri" w:hAnsi="Calibri"/>
          <w:sz w:val="22"/>
          <w:szCs w:val="22"/>
        </w:rPr>
        <w:t>,</w:t>
      </w:r>
      <w:r w:rsidRPr="002F777D">
        <w:rPr>
          <w:rFonts w:ascii="Calibri" w:hAnsi="Calibri"/>
          <w:sz w:val="22"/>
          <w:szCs w:val="22"/>
        </w:rPr>
        <w:t xml:space="preserve"> therefore</w:t>
      </w:r>
      <w:r w:rsidR="002F777D" w:rsidRPr="002F777D">
        <w:rPr>
          <w:rFonts w:ascii="Calibri" w:hAnsi="Calibri"/>
          <w:sz w:val="22"/>
          <w:szCs w:val="22"/>
        </w:rPr>
        <w:t xml:space="preserve">, protected by the ASR. </w:t>
      </w:r>
      <w:r w:rsidRPr="002F777D">
        <w:rPr>
          <w:rFonts w:ascii="Calibri" w:hAnsi="Calibri"/>
          <w:sz w:val="22"/>
          <w:szCs w:val="22"/>
        </w:rPr>
        <w:t xml:space="preserve">Several of the other subcontractors then sue </w:t>
      </w:r>
      <w:proofErr w:type="spellStart"/>
      <w:r w:rsidRPr="002F777D">
        <w:rPr>
          <w:rFonts w:ascii="Calibri" w:hAnsi="Calibri"/>
          <w:sz w:val="22"/>
          <w:szCs w:val="22"/>
        </w:rPr>
        <w:t>Conectiv</w:t>
      </w:r>
      <w:proofErr w:type="spellEnd"/>
      <w:r w:rsidRPr="002F777D">
        <w:rPr>
          <w:rFonts w:ascii="Calibri" w:hAnsi="Calibri"/>
          <w:sz w:val="22"/>
          <w:szCs w:val="22"/>
        </w:rPr>
        <w:t xml:space="preserve"> for indemnification or contribution. The </w:t>
      </w:r>
      <w:r w:rsidR="002F777D" w:rsidRPr="002F777D">
        <w:rPr>
          <w:rFonts w:ascii="Calibri" w:hAnsi="Calibri"/>
          <w:sz w:val="22"/>
          <w:szCs w:val="22"/>
        </w:rPr>
        <w:t>c</w:t>
      </w:r>
      <w:r w:rsidRPr="002F777D">
        <w:rPr>
          <w:rFonts w:ascii="Calibri" w:hAnsi="Calibri"/>
          <w:sz w:val="22"/>
          <w:szCs w:val="22"/>
        </w:rPr>
        <w:t xml:space="preserve">ourt rules that although the ASR protects </w:t>
      </w:r>
      <w:proofErr w:type="spellStart"/>
      <w:r w:rsidRPr="002F777D">
        <w:rPr>
          <w:rFonts w:ascii="Calibri" w:hAnsi="Calibri"/>
          <w:sz w:val="22"/>
          <w:szCs w:val="22"/>
        </w:rPr>
        <w:t>Conectiv</w:t>
      </w:r>
      <w:proofErr w:type="spellEnd"/>
      <w:r w:rsidRPr="002F777D">
        <w:rPr>
          <w:rFonts w:ascii="Calibri" w:hAnsi="Calibri"/>
          <w:sz w:val="22"/>
          <w:szCs w:val="22"/>
        </w:rPr>
        <w:t xml:space="preserve"> from a direct action by Great American, precedent indicates that </w:t>
      </w:r>
      <w:proofErr w:type="spellStart"/>
      <w:r w:rsidRPr="002F777D">
        <w:rPr>
          <w:rFonts w:ascii="Calibri" w:hAnsi="Calibri"/>
          <w:sz w:val="22"/>
          <w:szCs w:val="22"/>
        </w:rPr>
        <w:t>Conectiv</w:t>
      </w:r>
      <w:proofErr w:type="spellEnd"/>
      <w:r w:rsidRPr="002F777D">
        <w:rPr>
          <w:rFonts w:ascii="Calibri" w:hAnsi="Calibri"/>
          <w:sz w:val="22"/>
          <w:szCs w:val="22"/>
        </w:rPr>
        <w:t xml:space="preserve"> can still be sued for contribution or indemnification by its joint tortfeasors.</w:t>
      </w:r>
    </w:p>
    <w:p w14:paraId="5EF5D2F8" w14:textId="77777777" w:rsidR="00BA365B" w:rsidRPr="008F013B" w:rsidRDefault="00935406" w:rsidP="002F777D">
      <w:pPr>
        <w:spacing w:before="240" w:after="120"/>
        <w:jc w:val="both"/>
        <w:rPr>
          <w:rFonts w:ascii="Calibri" w:hAnsi="Calibri"/>
          <w:b/>
          <w:color w:val="0F243E"/>
          <w:sz w:val="24"/>
          <w:szCs w:val="24"/>
        </w:rPr>
      </w:pPr>
      <w:r w:rsidRPr="008F013B">
        <w:rPr>
          <w:rFonts w:ascii="Calibri" w:hAnsi="Calibri"/>
          <w:b/>
          <w:color w:val="0F243E"/>
          <w:sz w:val="24"/>
          <w:szCs w:val="24"/>
          <w:u w:val="single"/>
        </w:rPr>
        <w:t>DISTRICT OF COLUMBIA</w:t>
      </w:r>
    </w:p>
    <w:p w14:paraId="17AB57AD" w14:textId="77777777" w:rsidR="008262E8" w:rsidRPr="002F777D" w:rsidRDefault="00AC75FE" w:rsidP="00696E3D">
      <w:pPr>
        <w:spacing w:before="120" w:after="120"/>
        <w:jc w:val="both"/>
        <w:rPr>
          <w:rFonts w:ascii="Calibri" w:hAnsi="Calibri"/>
          <w:b/>
          <w:sz w:val="22"/>
          <w:szCs w:val="22"/>
        </w:rPr>
      </w:pPr>
      <w:r>
        <w:rPr>
          <w:rFonts w:ascii="Calibri" w:hAnsi="Calibri"/>
          <w:sz w:val="22"/>
          <w:szCs w:val="22"/>
        </w:rPr>
        <w:t>ASR</w:t>
      </w:r>
      <w:r w:rsidR="0007377C" w:rsidRPr="002F777D">
        <w:rPr>
          <w:rFonts w:ascii="Calibri" w:hAnsi="Calibri"/>
          <w:sz w:val="22"/>
          <w:szCs w:val="22"/>
        </w:rPr>
        <w:t xml:space="preserve"> yet to be determined.</w:t>
      </w:r>
    </w:p>
    <w:p w14:paraId="234F4AB0" w14:textId="77777777" w:rsidR="0024735B" w:rsidRPr="008F013B" w:rsidRDefault="00935406" w:rsidP="002F777D">
      <w:pPr>
        <w:spacing w:before="240" w:after="120"/>
        <w:jc w:val="both"/>
        <w:rPr>
          <w:rFonts w:ascii="Calibri" w:hAnsi="Calibri"/>
          <w:b/>
          <w:color w:val="0F243E"/>
          <w:sz w:val="24"/>
          <w:szCs w:val="24"/>
        </w:rPr>
      </w:pPr>
      <w:r w:rsidRPr="008F013B">
        <w:rPr>
          <w:rFonts w:ascii="Calibri" w:hAnsi="Calibri"/>
          <w:b/>
          <w:color w:val="0F243E"/>
          <w:sz w:val="24"/>
          <w:szCs w:val="24"/>
          <w:u w:val="single"/>
        </w:rPr>
        <w:t>FLORIDA</w:t>
      </w:r>
    </w:p>
    <w:p w14:paraId="33F0F650" w14:textId="77777777" w:rsidR="0024735B" w:rsidRPr="008F3AC2" w:rsidRDefault="0024735B" w:rsidP="00696E3D">
      <w:pPr>
        <w:spacing w:before="120" w:after="120"/>
        <w:jc w:val="both"/>
        <w:rPr>
          <w:rFonts w:ascii="Calibri" w:hAnsi="Calibri"/>
          <w:color w:val="212121"/>
          <w:sz w:val="22"/>
          <w:szCs w:val="22"/>
        </w:rPr>
      </w:pPr>
      <w:r w:rsidRPr="008F3AC2">
        <w:rPr>
          <w:rFonts w:ascii="Calibri" w:hAnsi="Calibri" w:cs="Times New Roman"/>
          <w:sz w:val="22"/>
          <w:szCs w:val="22"/>
        </w:rPr>
        <w:t xml:space="preserve">An insurance carrier has no right of subrogation against its own insured. </w:t>
      </w:r>
      <w:r w:rsidRPr="008F3AC2">
        <w:rPr>
          <w:rFonts w:ascii="Calibri" w:hAnsi="Calibri" w:cs="Times New Roman"/>
          <w:i/>
          <w:sz w:val="22"/>
          <w:szCs w:val="22"/>
        </w:rPr>
        <w:t xml:space="preserve">Bulone v. United States Auto. </w:t>
      </w:r>
      <w:proofErr w:type="spellStart"/>
      <w:r w:rsidRPr="008F3AC2">
        <w:rPr>
          <w:rFonts w:ascii="Calibri" w:hAnsi="Calibri" w:cs="Times New Roman"/>
          <w:i/>
          <w:sz w:val="22"/>
          <w:szCs w:val="22"/>
        </w:rPr>
        <w:t>Ass</w:t>
      </w:r>
      <w:r w:rsidR="002F777D" w:rsidRPr="008F3AC2">
        <w:rPr>
          <w:rFonts w:ascii="Calibri" w:hAnsi="Calibri" w:cs="Times New Roman"/>
          <w:i/>
          <w:sz w:val="22"/>
          <w:szCs w:val="22"/>
        </w:rPr>
        <w:t>’</w:t>
      </w:r>
      <w:r w:rsidRPr="008F3AC2">
        <w:rPr>
          <w:rFonts w:ascii="Calibri" w:hAnsi="Calibri" w:cs="Times New Roman"/>
          <w:i/>
          <w:sz w:val="22"/>
          <w:szCs w:val="22"/>
        </w:rPr>
        <w:t>n</w:t>
      </w:r>
      <w:proofErr w:type="spellEnd"/>
      <w:r w:rsidR="00895F14" w:rsidRPr="008F3AC2">
        <w:rPr>
          <w:rFonts w:ascii="Calibri" w:hAnsi="Calibri" w:cs="Times New Roman"/>
          <w:sz w:val="22"/>
          <w:szCs w:val="22"/>
        </w:rPr>
        <w:t xml:space="preserve">, 660 So.2d 399 </w:t>
      </w:r>
      <w:r w:rsidRPr="008F3AC2">
        <w:rPr>
          <w:rFonts w:ascii="Calibri" w:hAnsi="Calibri" w:cs="Times New Roman"/>
          <w:sz w:val="22"/>
          <w:szCs w:val="22"/>
        </w:rPr>
        <w:t xml:space="preserve">(Fla. Dist. Ct. App. 1995). If a contract imposes an affirmative duty on a building owner to buy insurance for the benefit of the owner and contractor, then the contractor becomes an insured under the policy, preventing the insurer from bringing suit against the contractor. </w:t>
      </w:r>
      <w:r w:rsidRPr="008F3AC2">
        <w:rPr>
          <w:rFonts w:ascii="Calibri" w:hAnsi="Calibri" w:cs="Times New Roman"/>
          <w:i/>
          <w:sz w:val="22"/>
          <w:szCs w:val="22"/>
        </w:rPr>
        <w:t>Ins</w:t>
      </w:r>
      <w:r w:rsidR="00AC75FE">
        <w:rPr>
          <w:rFonts w:ascii="Calibri" w:hAnsi="Calibri" w:cs="Times New Roman"/>
          <w:i/>
          <w:sz w:val="22"/>
          <w:szCs w:val="22"/>
        </w:rPr>
        <w:t>.</w:t>
      </w:r>
      <w:r w:rsidRPr="008F3AC2">
        <w:rPr>
          <w:rFonts w:ascii="Calibri" w:hAnsi="Calibri" w:cs="Times New Roman"/>
          <w:i/>
          <w:sz w:val="22"/>
          <w:szCs w:val="22"/>
        </w:rPr>
        <w:t xml:space="preserve"> Co. of N.</w:t>
      </w:r>
      <w:r w:rsidR="002F777D" w:rsidRPr="008F3AC2">
        <w:rPr>
          <w:rFonts w:ascii="Calibri" w:hAnsi="Calibri" w:cs="Times New Roman"/>
          <w:i/>
          <w:sz w:val="22"/>
          <w:szCs w:val="22"/>
        </w:rPr>
        <w:t xml:space="preserve"> </w:t>
      </w:r>
      <w:r w:rsidRPr="008F3AC2">
        <w:rPr>
          <w:rFonts w:ascii="Calibri" w:hAnsi="Calibri" w:cs="Times New Roman"/>
          <w:i/>
          <w:sz w:val="22"/>
          <w:szCs w:val="22"/>
        </w:rPr>
        <w:t xml:space="preserve">Am. v. E.L. </w:t>
      </w:r>
      <w:proofErr w:type="spellStart"/>
      <w:r w:rsidRPr="008F3AC2">
        <w:rPr>
          <w:rFonts w:ascii="Calibri" w:hAnsi="Calibri" w:cs="Times New Roman"/>
          <w:i/>
          <w:sz w:val="22"/>
          <w:szCs w:val="22"/>
        </w:rPr>
        <w:t>Nezelek</w:t>
      </w:r>
      <w:proofErr w:type="spellEnd"/>
      <w:r w:rsidRPr="008F3AC2">
        <w:rPr>
          <w:rFonts w:ascii="Calibri" w:hAnsi="Calibri" w:cs="Times New Roman"/>
          <w:i/>
          <w:sz w:val="22"/>
          <w:szCs w:val="22"/>
        </w:rPr>
        <w:t>, Inc.</w:t>
      </w:r>
      <w:r w:rsidRPr="008F3AC2">
        <w:rPr>
          <w:rFonts w:ascii="Calibri" w:hAnsi="Calibri" w:cs="Times New Roman"/>
          <w:sz w:val="22"/>
          <w:szCs w:val="22"/>
        </w:rPr>
        <w:t>, 480 So.2d 1</w:t>
      </w:r>
      <w:r w:rsidR="004E33F0" w:rsidRPr="008F3AC2">
        <w:rPr>
          <w:rFonts w:ascii="Calibri" w:hAnsi="Calibri" w:cs="Times New Roman"/>
          <w:sz w:val="22"/>
          <w:szCs w:val="22"/>
        </w:rPr>
        <w:t xml:space="preserve">333 (Fla. Dist. Ct. App. 1985). Where a contract required a property owner to carry fire insurance that included a contractor as one of the insureds with the intent of shifting all risk of fire damage to an insurer regardless of any </w:t>
      </w:r>
      <w:r w:rsidR="003C2F77" w:rsidRPr="008F3AC2">
        <w:rPr>
          <w:rFonts w:ascii="Calibri" w:hAnsi="Calibri" w:cs="Times New Roman"/>
          <w:sz w:val="22"/>
          <w:szCs w:val="22"/>
        </w:rPr>
        <w:t>parties’</w:t>
      </w:r>
      <w:r w:rsidR="004E33F0" w:rsidRPr="008F3AC2">
        <w:rPr>
          <w:rFonts w:ascii="Calibri" w:hAnsi="Calibri" w:cs="Times New Roman"/>
          <w:sz w:val="22"/>
          <w:szCs w:val="22"/>
        </w:rPr>
        <w:t xml:space="preserve"> negligence, failure of the owner to include the contractor in the insurance </w:t>
      </w:r>
      <w:r w:rsidR="002F777D" w:rsidRPr="008F3AC2">
        <w:rPr>
          <w:rFonts w:ascii="Calibri" w:hAnsi="Calibri" w:cs="Times New Roman"/>
          <w:sz w:val="22"/>
          <w:szCs w:val="22"/>
        </w:rPr>
        <w:t xml:space="preserve">policy </w:t>
      </w:r>
      <w:r w:rsidR="004E33F0" w:rsidRPr="008F3AC2">
        <w:rPr>
          <w:rFonts w:ascii="Calibri" w:hAnsi="Calibri" w:cs="Times New Roman"/>
          <w:sz w:val="22"/>
          <w:szCs w:val="22"/>
        </w:rPr>
        <w:t xml:space="preserve">prevented the property owner from collecting from the contractor on behalf of the insurer. </w:t>
      </w:r>
      <w:r w:rsidR="004E33F0" w:rsidRPr="008F3AC2">
        <w:rPr>
          <w:rFonts w:ascii="Calibri" w:hAnsi="Calibri" w:cs="Times New Roman"/>
          <w:i/>
          <w:sz w:val="22"/>
          <w:szCs w:val="22"/>
        </w:rPr>
        <w:t>Smith v. Ryan</w:t>
      </w:r>
      <w:r w:rsidR="004E33F0" w:rsidRPr="008F3AC2">
        <w:rPr>
          <w:rFonts w:ascii="Calibri" w:hAnsi="Calibri" w:cs="Times New Roman"/>
          <w:sz w:val="22"/>
          <w:szCs w:val="22"/>
        </w:rPr>
        <w:t xml:space="preserve">, 142 So.2d 139 (Fla. </w:t>
      </w:r>
      <w:r w:rsidR="002D45E0" w:rsidRPr="008F3AC2">
        <w:rPr>
          <w:rFonts w:ascii="Calibri" w:hAnsi="Calibri" w:cs="Times New Roman"/>
          <w:sz w:val="22"/>
          <w:szCs w:val="22"/>
        </w:rPr>
        <w:t>Dist. Ct. App.</w:t>
      </w:r>
      <w:r w:rsidR="004E33F0" w:rsidRPr="008F3AC2">
        <w:rPr>
          <w:rFonts w:ascii="Calibri" w:hAnsi="Calibri" w:cs="Times New Roman"/>
          <w:sz w:val="22"/>
          <w:szCs w:val="22"/>
        </w:rPr>
        <w:t xml:space="preserve"> 1962)</w:t>
      </w:r>
      <w:r w:rsidR="004C1942" w:rsidRPr="008F3AC2">
        <w:rPr>
          <w:rFonts w:ascii="Calibri" w:hAnsi="Calibri" w:cs="Times New Roman"/>
          <w:sz w:val="22"/>
          <w:szCs w:val="22"/>
        </w:rPr>
        <w:t>. An insurer may not be subrogated to</w:t>
      </w:r>
      <w:r w:rsidR="0068597C">
        <w:rPr>
          <w:rFonts w:ascii="Calibri" w:hAnsi="Calibri" w:cs="Times New Roman"/>
          <w:sz w:val="22"/>
          <w:szCs w:val="22"/>
        </w:rPr>
        <w:t xml:space="preserve"> the</w:t>
      </w:r>
      <w:r w:rsidR="004C1942" w:rsidRPr="008F3AC2">
        <w:rPr>
          <w:rFonts w:ascii="Calibri" w:hAnsi="Calibri" w:cs="Times New Roman"/>
          <w:sz w:val="22"/>
          <w:szCs w:val="22"/>
        </w:rPr>
        <w:t xml:space="preserve"> rights of one insured to defeat another insured </w:t>
      </w:r>
      <w:r w:rsidR="0068597C">
        <w:rPr>
          <w:rFonts w:ascii="Calibri" w:hAnsi="Calibri" w:cs="Times New Roman"/>
          <w:sz w:val="22"/>
          <w:szCs w:val="22"/>
        </w:rPr>
        <w:t>due to</w:t>
      </w:r>
      <w:r w:rsidR="004C1942" w:rsidRPr="008F3AC2">
        <w:rPr>
          <w:rFonts w:ascii="Calibri" w:hAnsi="Calibri" w:cs="Times New Roman"/>
          <w:sz w:val="22"/>
          <w:szCs w:val="22"/>
        </w:rPr>
        <w:t xml:space="preserve"> its undertaking to insure both. </w:t>
      </w:r>
      <w:r w:rsidR="004C1942" w:rsidRPr="008F3AC2">
        <w:rPr>
          <w:rFonts w:ascii="Calibri" w:hAnsi="Calibri" w:cs="Times New Roman"/>
          <w:i/>
          <w:sz w:val="22"/>
          <w:szCs w:val="22"/>
        </w:rPr>
        <w:t xml:space="preserve">Ray v. </w:t>
      </w:r>
      <w:r w:rsidR="002D45E0" w:rsidRPr="008F3AC2">
        <w:rPr>
          <w:rFonts w:ascii="Calibri" w:hAnsi="Calibri" w:cs="Times New Roman"/>
          <w:i/>
          <w:sz w:val="22"/>
          <w:szCs w:val="22"/>
        </w:rPr>
        <w:t>Earl</w:t>
      </w:r>
      <w:r w:rsidR="002D45E0" w:rsidRPr="008F3AC2">
        <w:rPr>
          <w:rFonts w:ascii="Calibri" w:hAnsi="Calibri" w:cs="Times New Roman"/>
          <w:sz w:val="22"/>
          <w:szCs w:val="22"/>
        </w:rPr>
        <w:t>,</w:t>
      </w:r>
      <w:r w:rsidR="004C1942" w:rsidRPr="008F3AC2">
        <w:rPr>
          <w:rFonts w:ascii="Calibri" w:hAnsi="Calibri" w:cs="Times New Roman"/>
          <w:sz w:val="22"/>
          <w:szCs w:val="22"/>
        </w:rPr>
        <w:t xml:space="preserve"> 277 So.2d 73</w:t>
      </w:r>
      <w:r w:rsidR="002D45E0" w:rsidRPr="008F3AC2">
        <w:rPr>
          <w:rFonts w:ascii="Calibri" w:hAnsi="Calibri" w:cs="Times New Roman"/>
          <w:sz w:val="22"/>
          <w:szCs w:val="22"/>
        </w:rPr>
        <w:t xml:space="preserve"> (Fla. Dist. Ct. App. 1973).</w:t>
      </w:r>
      <w:r w:rsidR="004E33F0" w:rsidRPr="008F3AC2">
        <w:rPr>
          <w:rFonts w:ascii="Calibri" w:hAnsi="Calibri" w:cs="Times New Roman"/>
          <w:sz w:val="22"/>
          <w:szCs w:val="22"/>
        </w:rPr>
        <w:t xml:space="preserve"> Generally, </w:t>
      </w:r>
      <w:r w:rsidR="004E33F0" w:rsidRPr="008F3AC2">
        <w:rPr>
          <w:rFonts w:ascii="Calibri" w:hAnsi="Calibri"/>
          <w:color w:val="212121"/>
          <w:sz w:val="22"/>
          <w:szCs w:val="22"/>
        </w:rPr>
        <w:t>a builders</w:t>
      </w:r>
      <w:r w:rsidR="002F777D" w:rsidRPr="008F3AC2">
        <w:rPr>
          <w:rFonts w:ascii="Calibri" w:hAnsi="Calibri"/>
          <w:color w:val="212121"/>
          <w:sz w:val="22"/>
          <w:szCs w:val="22"/>
        </w:rPr>
        <w:t>’</w:t>
      </w:r>
      <w:r w:rsidR="004E33F0" w:rsidRPr="008F3AC2">
        <w:rPr>
          <w:rFonts w:ascii="Calibri" w:hAnsi="Calibri"/>
          <w:color w:val="212121"/>
          <w:sz w:val="22"/>
          <w:szCs w:val="22"/>
        </w:rPr>
        <w:t xml:space="preserve"> risk insurer may not recover from a co</w:t>
      </w:r>
      <w:r w:rsidR="002F777D" w:rsidRPr="008F3AC2">
        <w:rPr>
          <w:rFonts w:ascii="Calibri" w:hAnsi="Calibri"/>
          <w:color w:val="212121"/>
          <w:sz w:val="22"/>
          <w:szCs w:val="22"/>
        </w:rPr>
        <w:t>-</w:t>
      </w:r>
      <w:r w:rsidR="004E33F0" w:rsidRPr="008F3AC2">
        <w:rPr>
          <w:rFonts w:ascii="Calibri" w:hAnsi="Calibri"/>
          <w:color w:val="212121"/>
          <w:sz w:val="22"/>
          <w:szCs w:val="22"/>
        </w:rPr>
        <w:t xml:space="preserve">insured for damages caused to property covered under the policy. </w:t>
      </w:r>
      <w:r w:rsidR="004E33F0" w:rsidRPr="008F3AC2">
        <w:rPr>
          <w:rFonts w:ascii="Calibri" w:hAnsi="Calibri"/>
          <w:i/>
          <w:color w:val="212121"/>
          <w:sz w:val="22"/>
          <w:szCs w:val="22"/>
        </w:rPr>
        <w:t xml:space="preserve">Dyson &amp; Co. v. Flood Engineers, Architects, Planners, Inc., </w:t>
      </w:r>
      <w:r w:rsidR="004E33F0" w:rsidRPr="008F3AC2">
        <w:rPr>
          <w:rFonts w:ascii="Calibri" w:hAnsi="Calibri"/>
          <w:color w:val="212121"/>
          <w:sz w:val="22"/>
          <w:szCs w:val="22"/>
        </w:rPr>
        <w:t>523 So.2d 756 (</w:t>
      </w:r>
      <w:r w:rsidR="002D45E0" w:rsidRPr="008F3AC2">
        <w:rPr>
          <w:rFonts w:ascii="Calibri" w:hAnsi="Calibri"/>
          <w:color w:val="212121"/>
          <w:sz w:val="22"/>
          <w:szCs w:val="22"/>
        </w:rPr>
        <w:t>Fla. Dist. Ct. App.</w:t>
      </w:r>
      <w:r w:rsidR="004E33F0" w:rsidRPr="008F3AC2">
        <w:rPr>
          <w:rFonts w:ascii="Calibri" w:hAnsi="Calibri"/>
          <w:color w:val="212121"/>
          <w:sz w:val="22"/>
          <w:szCs w:val="22"/>
        </w:rPr>
        <w:t xml:space="preserve"> 1988).</w:t>
      </w:r>
      <w:r w:rsidR="006648AF" w:rsidRPr="008F3AC2">
        <w:rPr>
          <w:rFonts w:ascii="Calibri" w:hAnsi="Calibri"/>
          <w:color w:val="212121"/>
          <w:sz w:val="22"/>
          <w:szCs w:val="22"/>
        </w:rPr>
        <w:t xml:space="preserve"> Where a contractor failed to include an engineering/design firm in their builders</w:t>
      </w:r>
      <w:r w:rsidR="0068597C">
        <w:rPr>
          <w:rFonts w:ascii="Calibri" w:hAnsi="Calibri"/>
          <w:color w:val="212121"/>
          <w:sz w:val="22"/>
          <w:szCs w:val="22"/>
        </w:rPr>
        <w:t>’</w:t>
      </w:r>
      <w:r w:rsidR="006648AF" w:rsidRPr="008F3AC2">
        <w:rPr>
          <w:rFonts w:ascii="Calibri" w:hAnsi="Calibri"/>
          <w:color w:val="212121"/>
          <w:sz w:val="22"/>
          <w:szCs w:val="22"/>
        </w:rPr>
        <w:t xml:space="preserve"> risk policy, despite having contracted to do so, the contractor’s insurer may not subrogate against the engineering/design firm because the engineering/design firm has “a substantial interest in being held free from any liability arising out of its participation in the project.” </w:t>
      </w:r>
      <w:r w:rsidR="006648AF" w:rsidRPr="008F3AC2">
        <w:rPr>
          <w:rFonts w:ascii="Calibri" w:hAnsi="Calibri"/>
          <w:i/>
          <w:color w:val="212121"/>
          <w:sz w:val="22"/>
          <w:szCs w:val="22"/>
        </w:rPr>
        <w:t>Id</w:t>
      </w:r>
      <w:r w:rsidR="006648AF" w:rsidRPr="008F3AC2">
        <w:rPr>
          <w:rFonts w:ascii="Calibri" w:hAnsi="Calibri"/>
          <w:color w:val="212121"/>
          <w:sz w:val="22"/>
          <w:szCs w:val="22"/>
        </w:rPr>
        <w:t>.</w:t>
      </w:r>
      <w:r w:rsidR="007D47D7" w:rsidRPr="008F3AC2">
        <w:rPr>
          <w:rFonts w:ascii="Calibri" w:hAnsi="Calibri"/>
          <w:color w:val="212121"/>
          <w:sz w:val="22"/>
          <w:szCs w:val="22"/>
        </w:rPr>
        <w:t xml:space="preserve"> An insurer who makes payments to an insured for injuries the insured suffered from an uninsured motorist is entitled to subrogate against money the insured receives from a joint tortfeasor of the uninsured driver. </w:t>
      </w:r>
      <w:r w:rsidR="007D47D7" w:rsidRPr="008F3AC2">
        <w:rPr>
          <w:rFonts w:ascii="Calibri" w:hAnsi="Calibri"/>
          <w:i/>
          <w:color w:val="212121"/>
          <w:sz w:val="22"/>
          <w:szCs w:val="22"/>
        </w:rPr>
        <w:t>Schwab v. Town of Davie</w:t>
      </w:r>
      <w:r w:rsidR="007D47D7" w:rsidRPr="008F3AC2">
        <w:rPr>
          <w:rFonts w:ascii="Calibri" w:hAnsi="Calibri"/>
          <w:color w:val="212121"/>
          <w:sz w:val="22"/>
          <w:szCs w:val="22"/>
        </w:rPr>
        <w:t xml:space="preserve">, 492 So.2d 708 (Fla. Dist. Ct. App. 1986) (Allstate, who paid Schwab $190,000 for injuries caused by an uninsured driver, was entitled to subrogate against </w:t>
      </w:r>
      <w:r w:rsidR="008F3AC2" w:rsidRPr="008F3AC2">
        <w:rPr>
          <w:rFonts w:ascii="Calibri" w:hAnsi="Calibri"/>
          <w:color w:val="212121"/>
          <w:sz w:val="22"/>
          <w:szCs w:val="22"/>
        </w:rPr>
        <w:t xml:space="preserve">the </w:t>
      </w:r>
      <w:r w:rsidR="007D47D7" w:rsidRPr="008F3AC2">
        <w:rPr>
          <w:rFonts w:ascii="Calibri" w:hAnsi="Calibri"/>
          <w:color w:val="212121"/>
          <w:sz w:val="22"/>
          <w:szCs w:val="22"/>
        </w:rPr>
        <w:t>$100,000 Schwab was paid by Town of Davie for having negligently designed t</w:t>
      </w:r>
      <w:r w:rsidR="008F3AC2" w:rsidRPr="008F3AC2">
        <w:rPr>
          <w:rFonts w:ascii="Calibri" w:hAnsi="Calibri"/>
          <w:color w:val="212121"/>
          <w:sz w:val="22"/>
          <w:szCs w:val="22"/>
        </w:rPr>
        <w:t>he road Schwab was injured on).</w:t>
      </w:r>
      <w:r w:rsidR="0068597C">
        <w:rPr>
          <w:rFonts w:ascii="Calibri" w:hAnsi="Calibri"/>
          <w:color w:val="212121"/>
          <w:sz w:val="22"/>
          <w:szCs w:val="22"/>
        </w:rPr>
        <w:t xml:space="preserve"> </w:t>
      </w:r>
      <w:r w:rsidR="008F3AC2" w:rsidRPr="008F3AC2">
        <w:rPr>
          <w:rFonts w:ascii="Calibri" w:hAnsi="Calibri"/>
          <w:color w:val="212121"/>
          <w:sz w:val="22"/>
          <w:szCs w:val="22"/>
        </w:rPr>
        <w:t xml:space="preserve">In </w:t>
      </w:r>
      <w:r w:rsidR="00DB67B6" w:rsidRPr="008F3AC2">
        <w:rPr>
          <w:rFonts w:ascii="Calibri" w:hAnsi="Calibri"/>
          <w:i/>
          <w:color w:val="212121"/>
          <w:sz w:val="22"/>
          <w:szCs w:val="22"/>
        </w:rPr>
        <w:t xml:space="preserve">Dyson &amp; Co., </w:t>
      </w:r>
      <w:r w:rsidR="00DB67B6" w:rsidRPr="008F3AC2">
        <w:rPr>
          <w:rFonts w:ascii="Calibri" w:hAnsi="Calibri"/>
          <w:color w:val="212121"/>
          <w:sz w:val="22"/>
          <w:szCs w:val="22"/>
        </w:rPr>
        <w:t>Flood Engineers designed a sewage system for the city of Pensacola, Florida, who subsequently hired the contractor Dyson to build the Sewage system. Dyson was required by contract to maintain a builders</w:t>
      </w:r>
      <w:r w:rsidR="0068597C">
        <w:rPr>
          <w:rFonts w:ascii="Calibri" w:hAnsi="Calibri"/>
          <w:color w:val="212121"/>
          <w:sz w:val="22"/>
          <w:szCs w:val="22"/>
        </w:rPr>
        <w:t>’</w:t>
      </w:r>
      <w:r w:rsidR="00DB67B6" w:rsidRPr="008F3AC2">
        <w:rPr>
          <w:rFonts w:ascii="Calibri" w:hAnsi="Calibri"/>
          <w:color w:val="212121"/>
          <w:sz w:val="22"/>
          <w:szCs w:val="22"/>
        </w:rPr>
        <w:t xml:space="preserve"> risk policy that included </w:t>
      </w:r>
      <w:r w:rsidR="00D55837" w:rsidRPr="008F3AC2">
        <w:rPr>
          <w:rFonts w:ascii="Calibri" w:hAnsi="Calibri"/>
          <w:color w:val="212121"/>
          <w:sz w:val="22"/>
          <w:szCs w:val="22"/>
        </w:rPr>
        <w:t>Flood Engineers as an insured, but Dyson failed to do so and after a fire caused significant damage to the project, Dyson’s insurer attempted to subrogate against Flood Engineers for the damage. Flood Engineers argued that Dyson’s failure to include Flood Engineers as an insured on Dyson’s policy barred Dyson’s insurer from subrogating against Flood Engineers, while Dyson and its insurer argued that Flood Engineers could not be an insured on the policy because Flood Engineers had no insurable interest in the project (</w:t>
      </w:r>
      <w:r w:rsidR="00D55837" w:rsidRPr="008F3AC2">
        <w:rPr>
          <w:rFonts w:ascii="Calibri" w:hAnsi="Calibri"/>
          <w:i/>
          <w:color w:val="212121"/>
          <w:sz w:val="22"/>
          <w:szCs w:val="22"/>
        </w:rPr>
        <w:t>e.g.</w:t>
      </w:r>
      <w:r w:rsidR="008F3AC2" w:rsidRPr="008F3AC2">
        <w:rPr>
          <w:rFonts w:ascii="Calibri" w:hAnsi="Calibri"/>
          <w:i/>
          <w:color w:val="212121"/>
          <w:sz w:val="22"/>
          <w:szCs w:val="22"/>
        </w:rPr>
        <w:t>,</w:t>
      </w:r>
      <w:r w:rsidR="00D55837" w:rsidRPr="008F3AC2">
        <w:rPr>
          <w:rFonts w:ascii="Calibri" w:hAnsi="Calibri"/>
          <w:color w:val="212121"/>
          <w:sz w:val="22"/>
          <w:szCs w:val="22"/>
        </w:rPr>
        <w:t xml:space="preserve"> bricks, mortar, tools, etc.). The </w:t>
      </w:r>
      <w:r w:rsidR="008F3AC2" w:rsidRPr="008F3AC2">
        <w:rPr>
          <w:rFonts w:ascii="Calibri" w:hAnsi="Calibri"/>
          <w:color w:val="212121"/>
          <w:sz w:val="22"/>
          <w:szCs w:val="22"/>
        </w:rPr>
        <w:t>c</w:t>
      </w:r>
      <w:r w:rsidR="00D55837" w:rsidRPr="008F3AC2">
        <w:rPr>
          <w:rFonts w:ascii="Calibri" w:hAnsi="Calibri"/>
          <w:color w:val="212121"/>
          <w:sz w:val="22"/>
          <w:szCs w:val="22"/>
        </w:rPr>
        <w:t>ourt ultimately held that Flood Engineers could not be subrogated against because Dyson had breached their duty to include Flood Engineers on their policy, and Flood Engineers had an insurable interest in the project because Flood Engineers had a “substantial interest in being held free from any liability arising out of its participation in the project.</w:t>
      </w:r>
      <w:r w:rsidR="008F3AC2" w:rsidRPr="008F3AC2">
        <w:rPr>
          <w:rFonts w:ascii="Calibri" w:hAnsi="Calibri"/>
          <w:color w:val="212121"/>
          <w:sz w:val="22"/>
          <w:szCs w:val="22"/>
        </w:rPr>
        <w:t>”</w:t>
      </w:r>
    </w:p>
    <w:p w14:paraId="3E2633A1" w14:textId="77777777" w:rsidR="00B96EFD" w:rsidRPr="008F013B" w:rsidRDefault="00935406" w:rsidP="008F3AC2">
      <w:pPr>
        <w:spacing w:before="240" w:after="120"/>
        <w:rPr>
          <w:rFonts w:ascii="Calibri" w:hAnsi="Calibri"/>
          <w:b/>
          <w:color w:val="0F243E"/>
          <w:sz w:val="24"/>
          <w:szCs w:val="24"/>
        </w:rPr>
      </w:pPr>
      <w:r w:rsidRPr="008F013B">
        <w:rPr>
          <w:rFonts w:ascii="Calibri" w:hAnsi="Calibri"/>
          <w:b/>
          <w:color w:val="0F243E"/>
          <w:sz w:val="24"/>
          <w:szCs w:val="24"/>
          <w:u w:val="single"/>
        </w:rPr>
        <w:t>GEORGIA</w:t>
      </w:r>
    </w:p>
    <w:p w14:paraId="5A9775C9" w14:textId="77777777" w:rsidR="00E25FEF" w:rsidRPr="008F3AC2" w:rsidRDefault="00B96EFD" w:rsidP="008F3AC2">
      <w:pPr>
        <w:spacing w:before="120" w:after="120"/>
        <w:jc w:val="both"/>
        <w:rPr>
          <w:rFonts w:ascii="Calibri" w:hAnsi="Calibri"/>
          <w:sz w:val="22"/>
          <w:szCs w:val="22"/>
        </w:rPr>
      </w:pPr>
      <w:r w:rsidRPr="008F3AC2">
        <w:rPr>
          <w:rFonts w:ascii="Calibri" w:hAnsi="Calibri"/>
          <w:sz w:val="22"/>
          <w:szCs w:val="22"/>
        </w:rPr>
        <w:t xml:space="preserve">An insurer cannot subrogate against its own insured or against those deemed to be </w:t>
      </w:r>
      <w:r w:rsidR="008F3AC2" w:rsidRPr="008F3AC2">
        <w:rPr>
          <w:rFonts w:ascii="Calibri" w:hAnsi="Calibri"/>
          <w:sz w:val="22"/>
          <w:szCs w:val="22"/>
        </w:rPr>
        <w:t xml:space="preserve">a </w:t>
      </w:r>
      <w:r w:rsidRPr="008F3AC2">
        <w:rPr>
          <w:rFonts w:ascii="Calibri" w:hAnsi="Calibri"/>
          <w:sz w:val="22"/>
          <w:szCs w:val="22"/>
        </w:rPr>
        <w:t xml:space="preserve">conditional insured or co-insured under the policy of an insurance. </w:t>
      </w:r>
      <w:r w:rsidRPr="008F3AC2">
        <w:rPr>
          <w:rFonts w:ascii="Calibri" w:hAnsi="Calibri"/>
          <w:i/>
          <w:sz w:val="22"/>
          <w:szCs w:val="22"/>
        </w:rPr>
        <w:t>AEW No. 2 Corp. v. Fed. Ins. Co.</w:t>
      </w:r>
      <w:r w:rsidRPr="008F3AC2">
        <w:rPr>
          <w:rFonts w:ascii="Calibri" w:hAnsi="Calibri"/>
          <w:sz w:val="22"/>
          <w:szCs w:val="22"/>
        </w:rPr>
        <w:t xml:space="preserve">, 603 S.E.2d 22 (Ga. </w:t>
      </w:r>
      <w:r w:rsidR="001210A3" w:rsidRPr="008F3AC2">
        <w:rPr>
          <w:rFonts w:ascii="Calibri" w:hAnsi="Calibri"/>
          <w:sz w:val="22"/>
          <w:szCs w:val="22"/>
        </w:rPr>
        <w:t xml:space="preserve">Ct. </w:t>
      </w:r>
      <w:r w:rsidRPr="008F3AC2">
        <w:rPr>
          <w:rFonts w:ascii="Calibri" w:hAnsi="Calibri"/>
          <w:sz w:val="22"/>
          <w:szCs w:val="22"/>
        </w:rPr>
        <w:t xml:space="preserve">App. 2004). Insurers cannot sue a co-insured party indirectly by requiring one co-insured party to sue the other and remit any winnings to the insurer. </w:t>
      </w:r>
      <w:r w:rsidRPr="008F3AC2">
        <w:rPr>
          <w:rFonts w:ascii="Calibri" w:hAnsi="Calibri"/>
          <w:i/>
          <w:sz w:val="22"/>
          <w:szCs w:val="22"/>
        </w:rPr>
        <w:t>E. C. Long, Inc. v. Brennan</w:t>
      </w:r>
      <w:r w:rsidR="008F3AC2" w:rsidRPr="008F3AC2">
        <w:rPr>
          <w:rFonts w:ascii="Calibri" w:hAnsi="Calibri"/>
          <w:i/>
          <w:sz w:val="22"/>
          <w:szCs w:val="22"/>
        </w:rPr>
        <w:t>’</w:t>
      </w:r>
      <w:r w:rsidRPr="008F3AC2">
        <w:rPr>
          <w:rFonts w:ascii="Calibri" w:hAnsi="Calibri"/>
          <w:i/>
          <w:sz w:val="22"/>
          <w:szCs w:val="22"/>
        </w:rPr>
        <w:t xml:space="preserve">s of Atlanta, Inc., </w:t>
      </w:r>
      <w:r w:rsidRPr="008F3AC2">
        <w:rPr>
          <w:rFonts w:ascii="Calibri" w:hAnsi="Calibri"/>
          <w:sz w:val="22"/>
          <w:szCs w:val="22"/>
        </w:rPr>
        <w:t>252 S.E.2d 642 (Ga.</w:t>
      </w:r>
      <w:r w:rsidR="001210A3" w:rsidRPr="008F3AC2">
        <w:rPr>
          <w:rFonts w:ascii="Calibri" w:hAnsi="Calibri"/>
          <w:sz w:val="22"/>
          <w:szCs w:val="22"/>
        </w:rPr>
        <w:t xml:space="preserve"> Ct.</w:t>
      </w:r>
      <w:r w:rsidRPr="008F3AC2">
        <w:rPr>
          <w:rFonts w:ascii="Calibri" w:hAnsi="Calibri"/>
          <w:sz w:val="22"/>
          <w:szCs w:val="22"/>
        </w:rPr>
        <w:t xml:space="preserve"> App. 1979).</w:t>
      </w:r>
      <w:r w:rsidR="00E25FEF" w:rsidRPr="008F3AC2">
        <w:rPr>
          <w:rFonts w:ascii="Calibri" w:hAnsi="Calibri"/>
          <w:sz w:val="22"/>
          <w:szCs w:val="22"/>
        </w:rPr>
        <w:t xml:space="preserve"> </w:t>
      </w:r>
      <w:r w:rsidR="00693BBE" w:rsidRPr="008F3AC2">
        <w:rPr>
          <w:rFonts w:ascii="Calibri" w:hAnsi="Calibri"/>
          <w:sz w:val="22"/>
          <w:szCs w:val="22"/>
        </w:rPr>
        <w:t xml:space="preserve">An insured lessor, </w:t>
      </w:r>
      <w:r w:rsidRPr="008F3AC2">
        <w:rPr>
          <w:rFonts w:ascii="Calibri" w:hAnsi="Calibri"/>
          <w:sz w:val="22"/>
          <w:szCs w:val="22"/>
        </w:rPr>
        <w:t>that</w:t>
      </w:r>
      <w:r w:rsidR="00693BBE" w:rsidRPr="008F3AC2">
        <w:rPr>
          <w:rFonts w:ascii="Calibri" w:hAnsi="Calibri"/>
          <w:sz w:val="22"/>
          <w:szCs w:val="22"/>
        </w:rPr>
        <w:t xml:space="preserve"> paid its insurance claim for damages to a trailer while used by a lessee, could not maintain a subrogation suit on behalf of its insurer against the lessee, who was a co</w:t>
      </w:r>
      <w:r w:rsidR="008F3AC2" w:rsidRPr="008F3AC2">
        <w:rPr>
          <w:rFonts w:ascii="Calibri" w:hAnsi="Calibri"/>
          <w:sz w:val="22"/>
          <w:szCs w:val="22"/>
        </w:rPr>
        <w:t>-</w:t>
      </w:r>
      <w:r w:rsidR="00693BBE" w:rsidRPr="008F3AC2">
        <w:rPr>
          <w:rFonts w:ascii="Calibri" w:hAnsi="Calibri"/>
          <w:sz w:val="22"/>
          <w:szCs w:val="22"/>
        </w:rPr>
        <w:t xml:space="preserve">insured. </w:t>
      </w:r>
      <w:r w:rsidR="00E25FEF" w:rsidRPr="008F3AC2">
        <w:rPr>
          <w:rFonts w:ascii="Calibri" w:hAnsi="Calibri" w:cs="Times New Roman"/>
          <w:i/>
          <w:sz w:val="22"/>
          <w:szCs w:val="22"/>
        </w:rPr>
        <w:t>Curles v. U.S. Fid. &amp; Guar. Co.,</w:t>
      </w:r>
      <w:r w:rsidR="00E25FEF" w:rsidRPr="008F3AC2">
        <w:rPr>
          <w:rFonts w:ascii="Calibri" w:hAnsi="Calibri" w:cs="Times New Roman"/>
          <w:sz w:val="22"/>
          <w:szCs w:val="22"/>
        </w:rPr>
        <w:t xml:space="preserve"> 403 S.E.2d 458 (</w:t>
      </w:r>
      <w:r w:rsidRPr="008F3AC2">
        <w:rPr>
          <w:rFonts w:ascii="Calibri" w:hAnsi="Calibri" w:cs="Times New Roman"/>
          <w:sz w:val="22"/>
          <w:szCs w:val="22"/>
        </w:rPr>
        <w:t xml:space="preserve">Ga. Ct. App. </w:t>
      </w:r>
      <w:r w:rsidR="00E25FEF" w:rsidRPr="008F3AC2">
        <w:rPr>
          <w:rFonts w:ascii="Calibri" w:hAnsi="Calibri" w:cs="Times New Roman"/>
          <w:sz w:val="22"/>
          <w:szCs w:val="22"/>
        </w:rPr>
        <w:t>1991)</w:t>
      </w:r>
      <w:r w:rsidRPr="008F3AC2">
        <w:rPr>
          <w:rFonts w:ascii="Calibri" w:hAnsi="Calibri" w:cs="Times New Roman"/>
          <w:sz w:val="22"/>
          <w:szCs w:val="22"/>
        </w:rPr>
        <w:t>.</w:t>
      </w:r>
    </w:p>
    <w:p w14:paraId="7F8E991A" w14:textId="77777777" w:rsidR="00935406" w:rsidRPr="008F013B" w:rsidRDefault="00935406" w:rsidP="008F3AC2">
      <w:pPr>
        <w:spacing w:before="240" w:after="120"/>
        <w:rPr>
          <w:rFonts w:ascii="Calibri" w:hAnsi="Calibri"/>
          <w:b/>
          <w:color w:val="0F243E"/>
          <w:sz w:val="24"/>
          <w:szCs w:val="24"/>
        </w:rPr>
      </w:pPr>
      <w:r w:rsidRPr="008F013B">
        <w:rPr>
          <w:rFonts w:ascii="Calibri" w:hAnsi="Calibri"/>
          <w:b/>
          <w:color w:val="0F243E"/>
          <w:sz w:val="24"/>
          <w:szCs w:val="24"/>
          <w:u w:val="single"/>
        </w:rPr>
        <w:t>HAWAII</w:t>
      </w:r>
    </w:p>
    <w:p w14:paraId="1C9468AB" w14:textId="77777777" w:rsidR="0066613A" w:rsidRPr="008F3AC2" w:rsidRDefault="0068597C" w:rsidP="00696E3D">
      <w:pPr>
        <w:spacing w:before="120" w:after="120"/>
        <w:rPr>
          <w:rFonts w:ascii="Calibri" w:hAnsi="Calibri" w:cs="Times New Roman"/>
          <w:sz w:val="22"/>
          <w:szCs w:val="22"/>
        </w:rPr>
      </w:pPr>
      <w:r>
        <w:rPr>
          <w:rFonts w:ascii="Calibri" w:hAnsi="Calibri" w:cs="Times New Roman"/>
          <w:sz w:val="22"/>
          <w:szCs w:val="22"/>
        </w:rPr>
        <w:t>ASR</w:t>
      </w:r>
      <w:r w:rsidR="006D2AD0" w:rsidRPr="008F3AC2">
        <w:rPr>
          <w:rFonts w:ascii="Calibri" w:hAnsi="Calibri" w:cs="Times New Roman"/>
          <w:sz w:val="22"/>
          <w:szCs w:val="22"/>
        </w:rPr>
        <w:t xml:space="preserve"> yet to be determined.</w:t>
      </w:r>
    </w:p>
    <w:p w14:paraId="04802318" w14:textId="77777777" w:rsidR="003D4491" w:rsidRPr="008F013B" w:rsidRDefault="0066613A" w:rsidP="008F3AC2">
      <w:pPr>
        <w:spacing w:before="240" w:after="120"/>
        <w:rPr>
          <w:rFonts w:ascii="Calibri" w:hAnsi="Calibri"/>
          <w:color w:val="0F243E"/>
          <w:sz w:val="24"/>
          <w:szCs w:val="24"/>
        </w:rPr>
      </w:pPr>
      <w:r w:rsidRPr="008F013B">
        <w:rPr>
          <w:rFonts w:ascii="Calibri" w:hAnsi="Calibri" w:cs="Times New Roman"/>
          <w:b/>
          <w:color w:val="0F243E"/>
          <w:sz w:val="24"/>
          <w:szCs w:val="24"/>
          <w:u w:val="single"/>
        </w:rPr>
        <w:t>I</w:t>
      </w:r>
      <w:r w:rsidR="00935406" w:rsidRPr="008F013B">
        <w:rPr>
          <w:rFonts w:ascii="Calibri" w:hAnsi="Calibri"/>
          <w:b/>
          <w:color w:val="0F243E"/>
          <w:sz w:val="24"/>
          <w:szCs w:val="24"/>
          <w:u w:val="single"/>
        </w:rPr>
        <w:t>DAHO</w:t>
      </w:r>
    </w:p>
    <w:p w14:paraId="42CF0152" w14:textId="77777777" w:rsidR="0066613A" w:rsidRPr="008F3AC2" w:rsidRDefault="0066613A" w:rsidP="008F3AC2">
      <w:pPr>
        <w:spacing w:before="120" w:after="120"/>
        <w:jc w:val="both"/>
        <w:rPr>
          <w:rFonts w:ascii="Calibri" w:hAnsi="Calibri" w:cs="Times New Roman"/>
          <w:sz w:val="22"/>
          <w:szCs w:val="22"/>
        </w:rPr>
      </w:pPr>
      <w:r w:rsidRPr="008F3AC2">
        <w:rPr>
          <w:rFonts w:ascii="Calibri" w:hAnsi="Calibri" w:cs="Times New Roman"/>
          <w:sz w:val="22"/>
          <w:szCs w:val="22"/>
        </w:rPr>
        <w:t xml:space="preserve">An insurer cannot subrogate against an alleged wrongdoer who is an insured under the policy. </w:t>
      </w:r>
      <w:r w:rsidRPr="008F3AC2">
        <w:rPr>
          <w:rFonts w:ascii="Calibri" w:hAnsi="Calibri" w:cs="Times New Roman"/>
          <w:i/>
          <w:sz w:val="22"/>
          <w:szCs w:val="22"/>
        </w:rPr>
        <w:t>Pendlebury v. W. Cas. &amp; Sur. Co</w:t>
      </w:r>
      <w:r w:rsidRPr="008F3AC2">
        <w:rPr>
          <w:rFonts w:ascii="Calibri" w:hAnsi="Calibri" w:cs="Times New Roman"/>
          <w:sz w:val="22"/>
          <w:szCs w:val="22"/>
        </w:rPr>
        <w:t xml:space="preserve">., </w:t>
      </w:r>
      <w:r w:rsidR="00304604" w:rsidRPr="008F3AC2">
        <w:rPr>
          <w:rFonts w:ascii="Calibri" w:hAnsi="Calibri" w:cs="Times New Roman"/>
          <w:sz w:val="22"/>
          <w:szCs w:val="22"/>
        </w:rPr>
        <w:t xml:space="preserve">406 P.2d 129 </w:t>
      </w:r>
      <w:r w:rsidRPr="008F3AC2">
        <w:rPr>
          <w:rFonts w:ascii="Calibri" w:hAnsi="Calibri" w:cs="Times New Roman"/>
          <w:sz w:val="22"/>
          <w:szCs w:val="22"/>
        </w:rPr>
        <w:t>(</w:t>
      </w:r>
      <w:r w:rsidR="00304604" w:rsidRPr="008F3AC2">
        <w:rPr>
          <w:rFonts w:ascii="Calibri" w:hAnsi="Calibri" w:cs="Times New Roman"/>
          <w:sz w:val="22"/>
          <w:szCs w:val="22"/>
        </w:rPr>
        <w:t xml:space="preserve">Idaho </w:t>
      </w:r>
      <w:r w:rsidRPr="008F3AC2">
        <w:rPr>
          <w:rFonts w:ascii="Calibri" w:hAnsi="Calibri" w:cs="Times New Roman"/>
          <w:sz w:val="22"/>
          <w:szCs w:val="22"/>
        </w:rPr>
        <w:t>1965).</w:t>
      </w:r>
    </w:p>
    <w:p w14:paraId="1A728A12" w14:textId="77777777" w:rsidR="007707FA" w:rsidRPr="008F013B" w:rsidRDefault="007707FA" w:rsidP="008F3AC2">
      <w:pPr>
        <w:spacing w:before="240" w:after="120"/>
        <w:rPr>
          <w:rFonts w:ascii="Calibri" w:hAnsi="Calibri" w:cs="Times New Roman"/>
          <w:color w:val="0F243E"/>
          <w:sz w:val="24"/>
          <w:szCs w:val="24"/>
        </w:rPr>
      </w:pPr>
      <w:r w:rsidRPr="008F013B">
        <w:rPr>
          <w:rFonts w:ascii="Calibri" w:hAnsi="Calibri"/>
          <w:b/>
          <w:color w:val="0F243E"/>
          <w:sz w:val="24"/>
          <w:szCs w:val="24"/>
          <w:u w:val="single"/>
        </w:rPr>
        <w:t>I</w:t>
      </w:r>
      <w:r w:rsidR="00935406" w:rsidRPr="008F013B">
        <w:rPr>
          <w:rFonts w:ascii="Calibri" w:hAnsi="Calibri"/>
          <w:b/>
          <w:color w:val="0F243E"/>
          <w:sz w:val="24"/>
          <w:szCs w:val="24"/>
          <w:u w:val="single"/>
        </w:rPr>
        <w:t>LLINOIS</w:t>
      </w:r>
    </w:p>
    <w:p w14:paraId="3727A1DE" w14:textId="77777777" w:rsidR="007707FA" w:rsidRPr="003805CB" w:rsidRDefault="007707FA" w:rsidP="008F3AC2">
      <w:pPr>
        <w:spacing w:before="120" w:after="120"/>
        <w:jc w:val="both"/>
        <w:rPr>
          <w:rFonts w:ascii="Calibri" w:hAnsi="Calibri" w:cs="Times New Roman"/>
          <w:sz w:val="22"/>
          <w:szCs w:val="22"/>
        </w:rPr>
      </w:pPr>
      <w:r w:rsidRPr="003805CB">
        <w:rPr>
          <w:rFonts w:ascii="Calibri" w:hAnsi="Calibri" w:cs="Times New Roman"/>
          <w:sz w:val="22"/>
          <w:szCs w:val="22"/>
        </w:rPr>
        <w:t xml:space="preserve">An Insurer may not subrogate against its own insured or any person or entity that maintains a “co-insured” status. </w:t>
      </w:r>
      <w:r w:rsidRPr="003805CB">
        <w:rPr>
          <w:rFonts w:ascii="Calibri" w:hAnsi="Calibri" w:cs="Times New Roman"/>
          <w:i/>
          <w:sz w:val="22"/>
          <w:szCs w:val="22"/>
        </w:rPr>
        <w:t xml:space="preserve">Dix Mut. Ins. Co. v. </w:t>
      </w:r>
      <w:proofErr w:type="spellStart"/>
      <w:r w:rsidRPr="003805CB">
        <w:rPr>
          <w:rFonts w:ascii="Calibri" w:hAnsi="Calibri" w:cs="Times New Roman"/>
          <w:i/>
          <w:sz w:val="22"/>
          <w:szCs w:val="22"/>
        </w:rPr>
        <w:t>LaFramboise</w:t>
      </w:r>
      <w:proofErr w:type="spellEnd"/>
      <w:r w:rsidRPr="003805CB">
        <w:rPr>
          <w:rFonts w:ascii="Calibri" w:hAnsi="Calibri" w:cs="Times New Roman"/>
          <w:sz w:val="22"/>
          <w:szCs w:val="22"/>
        </w:rPr>
        <w:t>, 597 N.E.2d 622 (</w:t>
      </w:r>
      <w:r w:rsidR="00304604" w:rsidRPr="003805CB">
        <w:rPr>
          <w:rFonts w:ascii="Calibri" w:hAnsi="Calibri" w:cs="Times New Roman"/>
          <w:sz w:val="22"/>
          <w:szCs w:val="22"/>
        </w:rPr>
        <w:t xml:space="preserve">Ill. </w:t>
      </w:r>
      <w:r w:rsidRPr="003805CB">
        <w:rPr>
          <w:rFonts w:ascii="Calibri" w:hAnsi="Calibri" w:cs="Times New Roman"/>
          <w:sz w:val="22"/>
          <w:szCs w:val="22"/>
        </w:rPr>
        <w:t xml:space="preserve">1992). ASR does not preclude </w:t>
      </w:r>
      <w:r w:rsidR="008F3AC2" w:rsidRPr="003805CB">
        <w:rPr>
          <w:rFonts w:ascii="Calibri" w:hAnsi="Calibri" w:cs="Times New Roman"/>
          <w:sz w:val="22"/>
          <w:szCs w:val="22"/>
        </w:rPr>
        <w:t xml:space="preserve">an </w:t>
      </w:r>
      <w:r w:rsidRPr="003805CB">
        <w:rPr>
          <w:rFonts w:ascii="Calibri" w:hAnsi="Calibri" w:cs="Times New Roman"/>
          <w:sz w:val="22"/>
          <w:szCs w:val="22"/>
        </w:rPr>
        <w:t xml:space="preserve">insurer from asserting </w:t>
      </w:r>
      <w:r w:rsidR="008F3AC2" w:rsidRPr="003805CB">
        <w:rPr>
          <w:rFonts w:ascii="Calibri" w:hAnsi="Calibri" w:cs="Times New Roman"/>
          <w:sz w:val="22"/>
          <w:szCs w:val="22"/>
        </w:rPr>
        <w:t xml:space="preserve">a </w:t>
      </w:r>
      <w:r w:rsidRPr="003805CB">
        <w:rPr>
          <w:rFonts w:ascii="Calibri" w:hAnsi="Calibri" w:cs="Times New Roman"/>
          <w:sz w:val="22"/>
          <w:szCs w:val="22"/>
        </w:rPr>
        <w:t xml:space="preserve">subrogation claim against its own insured where </w:t>
      </w:r>
      <w:r w:rsidR="008F3AC2" w:rsidRPr="003805CB">
        <w:rPr>
          <w:rFonts w:ascii="Calibri" w:hAnsi="Calibri" w:cs="Times New Roman"/>
          <w:sz w:val="22"/>
          <w:szCs w:val="22"/>
        </w:rPr>
        <w:t xml:space="preserve">the </w:t>
      </w:r>
      <w:r w:rsidRPr="003805CB">
        <w:rPr>
          <w:rFonts w:ascii="Calibri" w:hAnsi="Calibri" w:cs="Times New Roman"/>
          <w:sz w:val="22"/>
          <w:szCs w:val="22"/>
        </w:rPr>
        <w:t xml:space="preserve">policy does not cover </w:t>
      </w:r>
      <w:r w:rsidR="008F3AC2" w:rsidRPr="003805CB">
        <w:rPr>
          <w:rFonts w:ascii="Calibri" w:hAnsi="Calibri" w:cs="Times New Roman"/>
          <w:sz w:val="22"/>
          <w:szCs w:val="22"/>
        </w:rPr>
        <w:t xml:space="preserve">the </w:t>
      </w:r>
      <w:r w:rsidRPr="003805CB">
        <w:rPr>
          <w:rFonts w:ascii="Calibri" w:hAnsi="Calibri" w:cs="Times New Roman"/>
          <w:sz w:val="22"/>
          <w:szCs w:val="22"/>
        </w:rPr>
        <w:t xml:space="preserve">risk at issue. </w:t>
      </w:r>
      <w:r w:rsidRPr="003805CB">
        <w:rPr>
          <w:rFonts w:ascii="Calibri" w:hAnsi="Calibri" w:cs="Times New Roman"/>
          <w:i/>
          <w:sz w:val="22"/>
          <w:szCs w:val="22"/>
        </w:rPr>
        <w:t xml:space="preserve">LaSalle </w:t>
      </w:r>
      <w:proofErr w:type="spellStart"/>
      <w:r w:rsidRPr="003805CB">
        <w:rPr>
          <w:rFonts w:ascii="Calibri" w:hAnsi="Calibri" w:cs="Times New Roman"/>
          <w:i/>
          <w:sz w:val="22"/>
          <w:szCs w:val="22"/>
        </w:rPr>
        <w:t>Nat</w:t>
      </w:r>
      <w:r w:rsidR="008F3AC2" w:rsidRPr="003805CB">
        <w:rPr>
          <w:rFonts w:ascii="Calibri" w:hAnsi="Calibri" w:cs="Times New Roman"/>
          <w:i/>
          <w:sz w:val="22"/>
          <w:szCs w:val="22"/>
        </w:rPr>
        <w:t>’l</w:t>
      </w:r>
      <w:proofErr w:type="spellEnd"/>
      <w:r w:rsidRPr="003805CB">
        <w:rPr>
          <w:rFonts w:ascii="Calibri" w:hAnsi="Calibri" w:cs="Times New Roman"/>
          <w:i/>
          <w:sz w:val="22"/>
          <w:szCs w:val="22"/>
        </w:rPr>
        <w:t xml:space="preserve"> Bank v. Massachusetts Bay Ins. Co.</w:t>
      </w:r>
      <w:r w:rsidRPr="003805CB">
        <w:rPr>
          <w:rFonts w:ascii="Calibri" w:hAnsi="Calibri" w:cs="Times New Roman"/>
          <w:sz w:val="22"/>
          <w:szCs w:val="22"/>
        </w:rPr>
        <w:t>, 958 F. Supp. 384 (N.D. Ill. 1997). An insurer may subrogate against a party covered by a different policy issued by that same insurer, as long as the party</w:t>
      </w:r>
      <w:r w:rsidR="0068597C">
        <w:rPr>
          <w:rFonts w:ascii="Calibri" w:hAnsi="Calibri" w:cs="Times New Roman"/>
          <w:sz w:val="22"/>
          <w:szCs w:val="22"/>
        </w:rPr>
        <w:t>’</w:t>
      </w:r>
      <w:r w:rsidRPr="003805CB">
        <w:rPr>
          <w:rFonts w:ascii="Calibri" w:hAnsi="Calibri" w:cs="Times New Roman"/>
          <w:sz w:val="22"/>
          <w:szCs w:val="22"/>
        </w:rPr>
        <w:t xml:space="preserve">s policy limits are sufficient. </w:t>
      </w:r>
      <w:r w:rsidRPr="003805CB">
        <w:rPr>
          <w:rFonts w:ascii="Calibri" w:hAnsi="Calibri" w:cs="Times New Roman"/>
          <w:i/>
          <w:sz w:val="22"/>
          <w:szCs w:val="22"/>
        </w:rPr>
        <w:t>Benge v. State Far</w:t>
      </w:r>
      <w:r w:rsidR="008F3AC2" w:rsidRPr="003805CB">
        <w:rPr>
          <w:rFonts w:ascii="Calibri" w:hAnsi="Calibri" w:cs="Times New Roman"/>
          <w:i/>
          <w:sz w:val="22"/>
          <w:szCs w:val="22"/>
        </w:rPr>
        <w:t>m</w:t>
      </w:r>
      <w:r w:rsidRPr="003805CB">
        <w:rPr>
          <w:rFonts w:ascii="Calibri" w:hAnsi="Calibri" w:cs="Times New Roman"/>
          <w:i/>
          <w:sz w:val="22"/>
          <w:szCs w:val="22"/>
        </w:rPr>
        <w:t xml:space="preserve"> Mut. Auto. Ins. Co.</w:t>
      </w:r>
      <w:r w:rsidRPr="003805CB">
        <w:rPr>
          <w:rFonts w:ascii="Calibri" w:hAnsi="Calibri" w:cs="Times New Roman"/>
          <w:sz w:val="22"/>
          <w:szCs w:val="22"/>
        </w:rPr>
        <w:t>, 697 N.E.2d 914 (</w:t>
      </w:r>
      <w:r w:rsidR="00304604" w:rsidRPr="003805CB">
        <w:rPr>
          <w:rFonts w:ascii="Calibri" w:hAnsi="Calibri" w:cs="Times New Roman"/>
          <w:sz w:val="22"/>
          <w:szCs w:val="22"/>
        </w:rPr>
        <w:t xml:space="preserve">Ill. App. Ct. </w:t>
      </w:r>
      <w:r w:rsidRPr="003805CB">
        <w:rPr>
          <w:rFonts w:ascii="Calibri" w:hAnsi="Calibri" w:cs="Times New Roman"/>
          <w:sz w:val="22"/>
          <w:szCs w:val="22"/>
        </w:rPr>
        <w:t>1998). If the pa</w:t>
      </w:r>
      <w:r w:rsidR="008F3AC2" w:rsidRPr="003805CB">
        <w:rPr>
          <w:rFonts w:ascii="Calibri" w:hAnsi="Calibri" w:cs="Times New Roman"/>
          <w:sz w:val="22"/>
          <w:szCs w:val="22"/>
        </w:rPr>
        <w:t>rty’</w:t>
      </w:r>
      <w:r w:rsidRPr="003805CB">
        <w:rPr>
          <w:rFonts w:ascii="Calibri" w:hAnsi="Calibri" w:cs="Times New Roman"/>
          <w:sz w:val="22"/>
          <w:szCs w:val="22"/>
        </w:rPr>
        <w:t xml:space="preserve">s limits are inadequate, the subrogating carrier may have a conflict of interest. </w:t>
      </w:r>
      <w:r w:rsidRPr="003805CB">
        <w:rPr>
          <w:rFonts w:ascii="Calibri" w:hAnsi="Calibri" w:cs="Times New Roman"/>
          <w:i/>
          <w:sz w:val="22"/>
          <w:szCs w:val="22"/>
        </w:rPr>
        <w:t>Id</w:t>
      </w:r>
      <w:r w:rsidRPr="003805CB">
        <w:rPr>
          <w:rFonts w:ascii="Calibri" w:hAnsi="Calibri" w:cs="Times New Roman"/>
          <w:sz w:val="22"/>
          <w:szCs w:val="22"/>
        </w:rPr>
        <w:t xml:space="preserve">. If a party is an insured under the liability policy, they can still be subrogated against under the collision policy. </w:t>
      </w:r>
      <w:r w:rsidRPr="003805CB">
        <w:rPr>
          <w:rFonts w:ascii="Calibri" w:hAnsi="Calibri" w:cs="Times New Roman"/>
          <w:i/>
          <w:sz w:val="22"/>
          <w:szCs w:val="22"/>
        </w:rPr>
        <w:t>Universal Underwriters Group v. Pierson</w:t>
      </w:r>
      <w:r w:rsidRPr="003805CB">
        <w:rPr>
          <w:rFonts w:ascii="Calibri" w:hAnsi="Calibri" w:cs="Times New Roman"/>
          <w:sz w:val="22"/>
          <w:szCs w:val="22"/>
        </w:rPr>
        <w:t xml:space="preserve">, </w:t>
      </w:r>
      <w:r w:rsidR="001347C6" w:rsidRPr="003805CB">
        <w:rPr>
          <w:rFonts w:ascii="Calibri" w:hAnsi="Calibri" w:cs="Times New Roman"/>
          <w:sz w:val="22"/>
          <w:szCs w:val="22"/>
        </w:rPr>
        <w:t xml:space="preserve">787 N.E.2d 296 </w:t>
      </w:r>
      <w:r w:rsidRPr="003805CB">
        <w:rPr>
          <w:rFonts w:ascii="Calibri" w:hAnsi="Calibri" w:cs="Times New Roman"/>
          <w:sz w:val="22"/>
          <w:szCs w:val="22"/>
        </w:rPr>
        <w:t>(Ill. App.</w:t>
      </w:r>
      <w:r w:rsidR="00304604" w:rsidRPr="003805CB">
        <w:rPr>
          <w:rFonts w:ascii="Calibri" w:hAnsi="Calibri" w:cs="Times New Roman"/>
          <w:sz w:val="22"/>
          <w:szCs w:val="22"/>
        </w:rPr>
        <w:t xml:space="preserve"> Ct.</w:t>
      </w:r>
      <w:r w:rsidRPr="003805CB">
        <w:rPr>
          <w:rFonts w:ascii="Calibri" w:hAnsi="Calibri" w:cs="Times New Roman"/>
          <w:sz w:val="22"/>
          <w:szCs w:val="22"/>
        </w:rPr>
        <w:t xml:space="preserve"> 2003). If a contract or lease requires an insured to carry insurance for the benefit of another, the other party might attain the status of co</w:t>
      </w:r>
      <w:r w:rsidR="0068597C">
        <w:rPr>
          <w:rFonts w:ascii="Calibri" w:hAnsi="Calibri" w:cs="Times New Roman"/>
          <w:sz w:val="22"/>
          <w:szCs w:val="22"/>
        </w:rPr>
        <w:t>-</w:t>
      </w:r>
      <w:r w:rsidRPr="003805CB">
        <w:rPr>
          <w:rFonts w:ascii="Calibri" w:hAnsi="Calibri" w:cs="Times New Roman"/>
          <w:sz w:val="22"/>
          <w:szCs w:val="22"/>
        </w:rPr>
        <w:t xml:space="preserve">insured. </w:t>
      </w:r>
      <w:r w:rsidRPr="003805CB">
        <w:rPr>
          <w:rFonts w:ascii="Calibri" w:hAnsi="Calibri" w:cs="Times New Roman"/>
          <w:i/>
          <w:sz w:val="22"/>
          <w:szCs w:val="22"/>
        </w:rPr>
        <w:t>Reich v. Tharp</w:t>
      </w:r>
      <w:r w:rsidRPr="003805CB">
        <w:rPr>
          <w:rFonts w:ascii="Calibri" w:hAnsi="Calibri" w:cs="Times New Roman"/>
          <w:sz w:val="22"/>
          <w:szCs w:val="22"/>
        </w:rPr>
        <w:t>, 521 N.E.2d 530 (</w:t>
      </w:r>
      <w:r w:rsidR="00304604" w:rsidRPr="003805CB">
        <w:rPr>
          <w:rFonts w:ascii="Calibri" w:hAnsi="Calibri" w:cs="Times New Roman"/>
          <w:sz w:val="22"/>
          <w:szCs w:val="22"/>
        </w:rPr>
        <w:t xml:space="preserve">Ill. App. Ct. </w:t>
      </w:r>
      <w:r w:rsidRPr="003805CB">
        <w:rPr>
          <w:rFonts w:ascii="Calibri" w:hAnsi="Calibri" w:cs="Times New Roman"/>
          <w:sz w:val="22"/>
          <w:szCs w:val="22"/>
        </w:rPr>
        <w:t xml:space="preserve">1987). Where a general contractor purchases a policy in the name of the property owner for the mutual benefit and protection of both the general contractor and the property owner, the insurer is barred from seeking indemnification from the general contractor when they are defending the property owner. </w:t>
      </w:r>
      <w:r w:rsidRPr="003805CB">
        <w:rPr>
          <w:rFonts w:ascii="Calibri" w:hAnsi="Calibri" w:cs="Times New Roman"/>
          <w:i/>
          <w:sz w:val="22"/>
          <w:szCs w:val="22"/>
        </w:rPr>
        <w:t>Vandygriff v. Commonwealth Edison Co.</w:t>
      </w:r>
      <w:r w:rsidRPr="003805CB">
        <w:rPr>
          <w:rFonts w:ascii="Calibri" w:hAnsi="Calibri" w:cs="Times New Roman"/>
          <w:sz w:val="22"/>
          <w:szCs w:val="22"/>
        </w:rPr>
        <w:t>, 408 N.E.2d 1129 (</w:t>
      </w:r>
      <w:r w:rsidR="00304604" w:rsidRPr="003805CB">
        <w:rPr>
          <w:rFonts w:ascii="Calibri" w:hAnsi="Calibri" w:cs="Times New Roman"/>
          <w:sz w:val="22"/>
          <w:szCs w:val="22"/>
        </w:rPr>
        <w:t xml:space="preserve">Ill. App. Ct. </w:t>
      </w:r>
      <w:r w:rsidRPr="003805CB">
        <w:rPr>
          <w:rFonts w:ascii="Calibri" w:hAnsi="Calibri" w:cs="Times New Roman"/>
          <w:sz w:val="22"/>
          <w:szCs w:val="22"/>
        </w:rPr>
        <w:t>1980).</w:t>
      </w:r>
    </w:p>
    <w:p w14:paraId="06798683" w14:textId="77777777" w:rsidR="007707FA" w:rsidRPr="003805CB" w:rsidRDefault="008F3AC2" w:rsidP="00220B8E">
      <w:pPr>
        <w:spacing w:before="120" w:after="120"/>
        <w:jc w:val="both"/>
        <w:rPr>
          <w:rFonts w:ascii="Calibri" w:hAnsi="Calibri" w:cs="Times New Roman"/>
          <w:sz w:val="22"/>
          <w:szCs w:val="22"/>
        </w:rPr>
      </w:pPr>
      <w:r w:rsidRPr="003805CB">
        <w:rPr>
          <w:rFonts w:ascii="Calibri" w:hAnsi="Calibri" w:cs="Times New Roman"/>
          <w:sz w:val="22"/>
          <w:szCs w:val="22"/>
        </w:rPr>
        <w:t xml:space="preserve">In </w:t>
      </w:r>
      <w:r w:rsidR="007707FA" w:rsidRPr="003805CB">
        <w:rPr>
          <w:rFonts w:ascii="Calibri" w:hAnsi="Calibri" w:cs="Times New Roman"/>
          <w:i/>
          <w:sz w:val="22"/>
          <w:szCs w:val="22"/>
        </w:rPr>
        <w:t>LaSalle Nat. Bank</w:t>
      </w:r>
      <w:r w:rsidR="007707FA" w:rsidRPr="003805CB">
        <w:rPr>
          <w:rFonts w:ascii="Calibri" w:hAnsi="Calibri" w:cs="Times New Roman"/>
          <w:sz w:val="22"/>
          <w:szCs w:val="22"/>
        </w:rPr>
        <w:t xml:space="preserve">, </w:t>
      </w:r>
      <w:r w:rsidRPr="003805CB">
        <w:rPr>
          <w:rFonts w:ascii="Calibri" w:hAnsi="Calibri" w:cs="Times New Roman"/>
          <w:sz w:val="22"/>
          <w:szCs w:val="22"/>
        </w:rPr>
        <w:t xml:space="preserve">a </w:t>
      </w:r>
      <w:r w:rsidR="007707FA" w:rsidRPr="003805CB">
        <w:rPr>
          <w:rFonts w:ascii="Calibri" w:hAnsi="Calibri" w:cs="Times New Roman"/>
          <w:sz w:val="22"/>
          <w:szCs w:val="22"/>
        </w:rPr>
        <w:t xml:space="preserve">man intentionally burns down the home that he and his wife live in, and as a result, the home’s insurers pay the wife for her losses and then seeks subrogation against the husband for payments made to the wife. The </w:t>
      </w:r>
      <w:r w:rsidRPr="003805CB">
        <w:rPr>
          <w:rFonts w:ascii="Calibri" w:hAnsi="Calibri" w:cs="Times New Roman"/>
          <w:sz w:val="22"/>
          <w:szCs w:val="22"/>
        </w:rPr>
        <w:t>c</w:t>
      </w:r>
      <w:r w:rsidR="007707FA" w:rsidRPr="003805CB">
        <w:rPr>
          <w:rFonts w:ascii="Calibri" w:hAnsi="Calibri" w:cs="Times New Roman"/>
          <w:sz w:val="22"/>
          <w:szCs w:val="22"/>
        </w:rPr>
        <w:t>ourt rules that because the policy explicitly did not apply to intentional acts, the ASR did not bar the insurer from asserting subrogation claims against the husband.</w:t>
      </w:r>
      <w:r w:rsidR="003E39FA">
        <w:rPr>
          <w:rFonts w:ascii="Calibri" w:hAnsi="Calibri" w:cs="Times New Roman"/>
          <w:sz w:val="22"/>
          <w:szCs w:val="22"/>
        </w:rPr>
        <w:t xml:space="preserve"> </w:t>
      </w:r>
      <w:r w:rsidRPr="003805CB">
        <w:rPr>
          <w:rFonts w:ascii="Calibri" w:hAnsi="Calibri" w:cs="Times New Roman"/>
          <w:sz w:val="22"/>
          <w:szCs w:val="22"/>
        </w:rPr>
        <w:t xml:space="preserve">In </w:t>
      </w:r>
      <w:r w:rsidR="007707FA" w:rsidRPr="003805CB">
        <w:rPr>
          <w:rFonts w:ascii="Calibri" w:hAnsi="Calibri" w:cs="Times New Roman"/>
          <w:i/>
          <w:sz w:val="22"/>
          <w:szCs w:val="22"/>
        </w:rPr>
        <w:t>Benge</w:t>
      </w:r>
      <w:r w:rsidR="007707FA" w:rsidRPr="003805CB">
        <w:rPr>
          <w:rFonts w:ascii="Calibri" w:hAnsi="Calibri" w:cs="Times New Roman"/>
          <w:sz w:val="22"/>
          <w:szCs w:val="22"/>
        </w:rPr>
        <w:t xml:space="preserve">, </w:t>
      </w:r>
      <w:r w:rsidRPr="003805CB">
        <w:rPr>
          <w:rFonts w:ascii="Calibri" w:hAnsi="Calibri" w:cs="Times New Roman"/>
          <w:sz w:val="22"/>
          <w:szCs w:val="22"/>
        </w:rPr>
        <w:t>the c</w:t>
      </w:r>
      <w:r w:rsidR="007707FA" w:rsidRPr="003805CB">
        <w:rPr>
          <w:rFonts w:ascii="Calibri" w:hAnsi="Calibri" w:cs="Times New Roman"/>
          <w:sz w:val="22"/>
          <w:szCs w:val="22"/>
        </w:rPr>
        <w:t>ourt considered whether an insurance carrier can exercise its subrogation rights under one policy against a party it insures</w:t>
      </w:r>
      <w:r w:rsidR="003805CB" w:rsidRPr="003805CB">
        <w:rPr>
          <w:rFonts w:ascii="Calibri" w:hAnsi="Calibri" w:cs="Times New Roman"/>
          <w:sz w:val="22"/>
          <w:szCs w:val="22"/>
        </w:rPr>
        <w:t xml:space="preserve"> under a different policy. The c</w:t>
      </w:r>
      <w:r w:rsidR="007707FA" w:rsidRPr="003805CB">
        <w:rPr>
          <w:rFonts w:ascii="Calibri" w:hAnsi="Calibri" w:cs="Times New Roman"/>
          <w:sz w:val="22"/>
          <w:szCs w:val="22"/>
        </w:rPr>
        <w:t xml:space="preserve">ourt held that the auto insurer could, without violating the </w:t>
      </w:r>
      <w:r w:rsidR="003805CB" w:rsidRPr="003805CB">
        <w:rPr>
          <w:rFonts w:ascii="Calibri" w:hAnsi="Calibri" w:cs="Times New Roman"/>
          <w:sz w:val="22"/>
          <w:szCs w:val="22"/>
        </w:rPr>
        <w:t>ASR</w:t>
      </w:r>
      <w:r w:rsidR="007707FA" w:rsidRPr="003805CB">
        <w:rPr>
          <w:rFonts w:ascii="Calibri" w:hAnsi="Calibri" w:cs="Times New Roman"/>
          <w:sz w:val="22"/>
          <w:szCs w:val="22"/>
        </w:rPr>
        <w:t xml:space="preserve"> or pu</w:t>
      </w:r>
      <w:r w:rsidR="003805CB" w:rsidRPr="003805CB">
        <w:rPr>
          <w:rFonts w:ascii="Calibri" w:hAnsi="Calibri" w:cs="Times New Roman"/>
          <w:sz w:val="22"/>
          <w:szCs w:val="22"/>
        </w:rPr>
        <w:t>blic policy, assert a policy’</w:t>
      </w:r>
      <w:r w:rsidR="007707FA" w:rsidRPr="003805CB">
        <w:rPr>
          <w:rFonts w:ascii="Calibri" w:hAnsi="Calibri" w:cs="Times New Roman"/>
          <w:sz w:val="22"/>
          <w:szCs w:val="22"/>
        </w:rPr>
        <w:t>s subrogation provision to avoid paying physical damage coverage benefits after it had already paid for the damage under the liability coverage of an unrelated policy it had coincidentally issued to the at-fault driver, where no conflict of interest existed</w:t>
      </w:r>
      <w:r w:rsidR="003805CB" w:rsidRPr="003805CB">
        <w:rPr>
          <w:rFonts w:ascii="Calibri" w:hAnsi="Calibri" w:cs="Times New Roman"/>
          <w:sz w:val="22"/>
          <w:szCs w:val="22"/>
        </w:rPr>
        <w:t xml:space="preserve"> insofar as the at-fault driver’</w:t>
      </w:r>
      <w:r w:rsidR="007707FA" w:rsidRPr="003805CB">
        <w:rPr>
          <w:rFonts w:ascii="Calibri" w:hAnsi="Calibri" w:cs="Times New Roman"/>
          <w:sz w:val="22"/>
          <w:szCs w:val="22"/>
        </w:rPr>
        <w:t xml:space="preserve">s liability coverage exceeded the property damage coverage. </w:t>
      </w:r>
      <w:r w:rsidR="003E39FA">
        <w:rPr>
          <w:rFonts w:ascii="Calibri" w:hAnsi="Calibri" w:cs="Times New Roman"/>
          <w:sz w:val="22"/>
          <w:szCs w:val="22"/>
        </w:rPr>
        <w:t>I</w:t>
      </w:r>
      <w:r w:rsidR="003805CB" w:rsidRPr="003805CB">
        <w:rPr>
          <w:rFonts w:ascii="Calibri" w:hAnsi="Calibri" w:cs="Times New Roman"/>
          <w:sz w:val="22"/>
          <w:szCs w:val="22"/>
        </w:rPr>
        <w:t xml:space="preserve">n </w:t>
      </w:r>
      <w:r w:rsidR="007707FA" w:rsidRPr="003805CB">
        <w:rPr>
          <w:rFonts w:ascii="Calibri" w:hAnsi="Calibri" w:cs="Times New Roman"/>
          <w:i/>
          <w:sz w:val="22"/>
          <w:szCs w:val="22"/>
        </w:rPr>
        <w:t>Pierson</w:t>
      </w:r>
      <w:r w:rsidR="007707FA" w:rsidRPr="003805CB">
        <w:rPr>
          <w:rFonts w:ascii="Calibri" w:hAnsi="Calibri" w:cs="Times New Roman"/>
          <w:sz w:val="22"/>
          <w:szCs w:val="22"/>
        </w:rPr>
        <w:t>, Universal Underwriters Group (</w:t>
      </w:r>
      <w:r w:rsidR="000908E0">
        <w:rPr>
          <w:rFonts w:ascii="Calibri" w:hAnsi="Calibri" w:cs="Times New Roman"/>
          <w:sz w:val="22"/>
          <w:szCs w:val="22"/>
        </w:rPr>
        <w:t>“</w:t>
      </w:r>
      <w:r w:rsidR="007707FA" w:rsidRPr="003805CB">
        <w:rPr>
          <w:rFonts w:ascii="Calibri" w:hAnsi="Calibri" w:cs="Times New Roman"/>
          <w:sz w:val="22"/>
          <w:szCs w:val="22"/>
        </w:rPr>
        <w:t>UUG</w:t>
      </w:r>
      <w:r w:rsidR="000908E0">
        <w:rPr>
          <w:rFonts w:ascii="Calibri" w:hAnsi="Calibri" w:cs="Times New Roman"/>
          <w:sz w:val="22"/>
          <w:szCs w:val="22"/>
        </w:rPr>
        <w:t>”</w:t>
      </w:r>
      <w:r w:rsidR="007707FA" w:rsidRPr="003805CB">
        <w:rPr>
          <w:rFonts w:ascii="Calibri" w:hAnsi="Calibri" w:cs="Times New Roman"/>
          <w:sz w:val="22"/>
          <w:szCs w:val="22"/>
        </w:rPr>
        <w:t xml:space="preserve">) insured a car dealership that permitted Pierson to borrow a car. Pierson was subsequently involved in an accident and UUG paid for the damage to the car. UUG then brought a subrogation action against Pierson. The </w:t>
      </w:r>
      <w:r w:rsidR="003805CB" w:rsidRPr="003805CB">
        <w:rPr>
          <w:rFonts w:ascii="Calibri" w:hAnsi="Calibri" w:cs="Times New Roman"/>
          <w:sz w:val="22"/>
          <w:szCs w:val="22"/>
        </w:rPr>
        <w:t>c</w:t>
      </w:r>
      <w:r w:rsidR="007707FA" w:rsidRPr="003805CB">
        <w:rPr>
          <w:rFonts w:ascii="Calibri" w:hAnsi="Calibri" w:cs="Times New Roman"/>
          <w:sz w:val="22"/>
          <w:szCs w:val="22"/>
        </w:rPr>
        <w:t xml:space="preserve">ourt permitted the subrogation action on the basis that because subrogation is allowed when there are two separate policies, UUG could </w:t>
      </w:r>
      <w:r w:rsidR="003805CB" w:rsidRPr="003805CB">
        <w:rPr>
          <w:rFonts w:ascii="Calibri" w:hAnsi="Calibri" w:cs="Times New Roman"/>
          <w:sz w:val="22"/>
          <w:szCs w:val="22"/>
        </w:rPr>
        <w:t>defend Pierson under the third-</w:t>
      </w:r>
      <w:r w:rsidR="007707FA" w:rsidRPr="003805CB">
        <w:rPr>
          <w:rFonts w:ascii="Calibri" w:hAnsi="Calibri" w:cs="Times New Roman"/>
          <w:sz w:val="22"/>
          <w:szCs w:val="22"/>
        </w:rPr>
        <w:t>party liability portion of the policy and subrogate for damage to the vehicle itself under the collision policy.</w:t>
      </w:r>
    </w:p>
    <w:p w14:paraId="7F2A004A" w14:textId="77777777" w:rsidR="00746E59" w:rsidRPr="008F013B" w:rsidRDefault="00935406" w:rsidP="003805CB">
      <w:pPr>
        <w:spacing w:before="240" w:after="120"/>
        <w:jc w:val="both"/>
        <w:rPr>
          <w:rFonts w:ascii="Calibri" w:hAnsi="Calibri"/>
          <w:b/>
          <w:color w:val="0F243E"/>
          <w:sz w:val="24"/>
          <w:szCs w:val="24"/>
        </w:rPr>
      </w:pPr>
      <w:r w:rsidRPr="008F013B">
        <w:rPr>
          <w:rFonts w:ascii="Calibri" w:hAnsi="Calibri"/>
          <w:b/>
          <w:color w:val="0F243E"/>
          <w:sz w:val="24"/>
          <w:szCs w:val="24"/>
          <w:u w:val="single"/>
        </w:rPr>
        <w:t>INDIANA</w:t>
      </w:r>
    </w:p>
    <w:p w14:paraId="095A19A3" w14:textId="77777777" w:rsidR="004B2A67" w:rsidRPr="00296EB3" w:rsidRDefault="00746E59" w:rsidP="00696E3D">
      <w:pPr>
        <w:spacing w:before="120" w:after="120"/>
        <w:jc w:val="both"/>
        <w:rPr>
          <w:rFonts w:ascii="Calibri" w:hAnsi="Calibri"/>
          <w:sz w:val="22"/>
          <w:szCs w:val="22"/>
        </w:rPr>
      </w:pPr>
      <w:r w:rsidRPr="00296EB3">
        <w:rPr>
          <w:rFonts w:ascii="Calibri" w:hAnsi="Calibri"/>
          <w:sz w:val="22"/>
          <w:szCs w:val="22"/>
        </w:rPr>
        <w:t xml:space="preserve">An insurer may not subrogate against its own insured. </w:t>
      </w:r>
      <w:r w:rsidRPr="00296EB3">
        <w:rPr>
          <w:rFonts w:ascii="Calibri" w:hAnsi="Calibri"/>
          <w:i/>
          <w:sz w:val="22"/>
          <w:szCs w:val="22"/>
        </w:rPr>
        <w:t xml:space="preserve">S. Tippecanoe School Bldg. Corp. v. Shambaugh &amp; Son, Inc., </w:t>
      </w:r>
      <w:r w:rsidRPr="00296EB3">
        <w:rPr>
          <w:rFonts w:ascii="Calibri" w:hAnsi="Calibri"/>
          <w:sz w:val="22"/>
          <w:szCs w:val="22"/>
        </w:rPr>
        <w:t xml:space="preserve">395 N.E.2d 320 (Ind. App. 1979). An insurer may be permitted to subrogate against a subcontractor if the subcontractor was not an intended insured under the policy. </w:t>
      </w:r>
      <w:r w:rsidRPr="00296EB3">
        <w:rPr>
          <w:rFonts w:ascii="Calibri" w:hAnsi="Calibri"/>
          <w:i/>
          <w:sz w:val="22"/>
          <w:szCs w:val="22"/>
        </w:rPr>
        <w:t>Indiana Erectors</w:t>
      </w:r>
      <w:r w:rsidR="00296EB3" w:rsidRPr="00296EB3">
        <w:rPr>
          <w:rFonts w:ascii="Calibri" w:hAnsi="Calibri"/>
          <w:i/>
          <w:sz w:val="22"/>
          <w:szCs w:val="22"/>
        </w:rPr>
        <w:t>,</w:t>
      </w:r>
      <w:r w:rsidRPr="00296EB3">
        <w:rPr>
          <w:rFonts w:ascii="Calibri" w:hAnsi="Calibri"/>
          <w:i/>
          <w:sz w:val="22"/>
          <w:szCs w:val="22"/>
        </w:rPr>
        <w:t xml:space="preserve"> Inc. v Trustees of Indiana University</w:t>
      </w:r>
      <w:r w:rsidRPr="00296EB3">
        <w:rPr>
          <w:rFonts w:ascii="Calibri" w:hAnsi="Calibri"/>
          <w:sz w:val="22"/>
          <w:szCs w:val="22"/>
        </w:rPr>
        <w:t xml:space="preserve">, 686 N.E.2d 878 (Ind. App. 1997). </w:t>
      </w:r>
      <w:r w:rsidR="00296EB3" w:rsidRPr="00296EB3">
        <w:rPr>
          <w:rFonts w:ascii="Calibri" w:hAnsi="Calibri"/>
          <w:sz w:val="22"/>
          <w:szCs w:val="22"/>
        </w:rPr>
        <w:t xml:space="preserve">In </w:t>
      </w:r>
      <w:r w:rsidRPr="00296EB3">
        <w:rPr>
          <w:rFonts w:ascii="Calibri" w:hAnsi="Calibri"/>
          <w:i/>
          <w:sz w:val="22"/>
          <w:szCs w:val="22"/>
        </w:rPr>
        <w:t>Indiana Erectors Inc.</w:t>
      </w:r>
      <w:r w:rsidRPr="00296EB3">
        <w:rPr>
          <w:rFonts w:ascii="Calibri" w:hAnsi="Calibri"/>
          <w:sz w:val="22"/>
          <w:szCs w:val="22"/>
        </w:rPr>
        <w:t xml:space="preserve">, </w:t>
      </w:r>
      <w:r w:rsidR="00296EB3" w:rsidRPr="00296EB3">
        <w:rPr>
          <w:rFonts w:ascii="Calibri" w:hAnsi="Calibri"/>
          <w:sz w:val="22"/>
          <w:szCs w:val="22"/>
        </w:rPr>
        <w:t>a</w:t>
      </w:r>
      <w:r w:rsidRPr="00296EB3">
        <w:rPr>
          <w:rFonts w:ascii="Calibri" w:hAnsi="Calibri"/>
          <w:sz w:val="22"/>
          <w:szCs w:val="22"/>
        </w:rPr>
        <w:t xml:space="preserve"> builder</w:t>
      </w:r>
      <w:r w:rsidR="003E39FA">
        <w:rPr>
          <w:rFonts w:ascii="Calibri" w:hAnsi="Calibri"/>
          <w:sz w:val="22"/>
          <w:szCs w:val="22"/>
        </w:rPr>
        <w:t>’</w:t>
      </w:r>
      <w:r w:rsidRPr="00296EB3">
        <w:rPr>
          <w:rFonts w:ascii="Calibri" w:hAnsi="Calibri"/>
          <w:sz w:val="22"/>
          <w:szCs w:val="22"/>
        </w:rPr>
        <w:t>s risk insurer brought a subrogation action in</w:t>
      </w:r>
      <w:r w:rsidR="00296EB3" w:rsidRPr="00296EB3">
        <w:rPr>
          <w:rFonts w:ascii="Calibri" w:hAnsi="Calibri"/>
          <w:sz w:val="22"/>
          <w:szCs w:val="22"/>
        </w:rPr>
        <w:t xml:space="preserve"> the</w:t>
      </w:r>
      <w:r w:rsidRPr="00296EB3">
        <w:rPr>
          <w:rFonts w:ascii="Calibri" w:hAnsi="Calibri"/>
          <w:sz w:val="22"/>
          <w:szCs w:val="22"/>
        </w:rPr>
        <w:t xml:space="preserve"> insured landowner</w:t>
      </w:r>
      <w:r w:rsidR="00296EB3" w:rsidRPr="00296EB3">
        <w:rPr>
          <w:rFonts w:ascii="Calibri" w:hAnsi="Calibri"/>
          <w:sz w:val="22"/>
          <w:szCs w:val="22"/>
        </w:rPr>
        <w:t>’</w:t>
      </w:r>
      <w:r w:rsidRPr="00296EB3">
        <w:rPr>
          <w:rFonts w:ascii="Calibri" w:hAnsi="Calibri"/>
          <w:sz w:val="22"/>
          <w:szCs w:val="22"/>
        </w:rPr>
        <w:t xml:space="preserve">s name to recover from </w:t>
      </w:r>
      <w:r w:rsidR="00296EB3" w:rsidRPr="00296EB3">
        <w:rPr>
          <w:rFonts w:ascii="Calibri" w:hAnsi="Calibri"/>
          <w:sz w:val="22"/>
          <w:szCs w:val="22"/>
        </w:rPr>
        <w:t xml:space="preserve">the </w:t>
      </w:r>
      <w:r w:rsidRPr="00296EB3">
        <w:rPr>
          <w:rFonts w:ascii="Calibri" w:hAnsi="Calibri"/>
          <w:sz w:val="22"/>
          <w:szCs w:val="22"/>
        </w:rPr>
        <w:t xml:space="preserve">subcontractor for damage caused by </w:t>
      </w:r>
      <w:r w:rsidR="00296EB3" w:rsidRPr="00296EB3">
        <w:rPr>
          <w:rFonts w:ascii="Calibri" w:hAnsi="Calibri"/>
          <w:sz w:val="22"/>
          <w:szCs w:val="22"/>
        </w:rPr>
        <w:t xml:space="preserve">a </w:t>
      </w:r>
      <w:r w:rsidRPr="00296EB3">
        <w:rPr>
          <w:rFonts w:ascii="Calibri" w:hAnsi="Calibri"/>
          <w:sz w:val="22"/>
          <w:szCs w:val="22"/>
        </w:rPr>
        <w:t xml:space="preserve">fire. The </w:t>
      </w:r>
      <w:r w:rsidR="00296EB3" w:rsidRPr="00296EB3">
        <w:rPr>
          <w:rFonts w:ascii="Calibri" w:hAnsi="Calibri"/>
          <w:sz w:val="22"/>
          <w:szCs w:val="22"/>
        </w:rPr>
        <w:t>c</w:t>
      </w:r>
      <w:r w:rsidRPr="00296EB3">
        <w:rPr>
          <w:rFonts w:ascii="Calibri" w:hAnsi="Calibri"/>
          <w:sz w:val="22"/>
          <w:szCs w:val="22"/>
        </w:rPr>
        <w:t xml:space="preserve">ourt held that the builder’s risk insurer could maintain a subrogation action against the subcontractor for </w:t>
      </w:r>
      <w:r w:rsidR="00296EB3" w:rsidRPr="00296EB3">
        <w:rPr>
          <w:rFonts w:ascii="Calibri" w:hAnsi="Calibri"/>
          <w:sz w:val="22"/>
          <w:szCs w:val="22"/>
        </w:rPr>
        <w:t xml:space="preserve">the </w:t>
      </w:r>
      <w:r w:rsidRPr="00296EB3">
        <w:rPr>
          <w:rFonts w:ascii="Calibri" w:hAnsi="Calibri"/>
          <w:sz w:val="22"/>
          <w:szCs w:val="22"/>
        </w:rPr>
        <w:t>fire loss because the subcontractor was not an intended insured under the policy.</w:t>
      </w:r>
    </w:p>
    <w:p w14:paraId="60963457" w14:textId="77777777" w:rsidR="005E6B1F" w:rsidRPr="008F013B" w:rsidRDefault="00935406" w:rsidP="00296EB3">
      <w:pPr>
        <w:spacing w:before="240" w:after="120"/>
        <w:jc w:val="both"/>
        <w:rPr>
          <w:rFonts w:ascii="Calibri" w:hAnsi="Calibri"/>
          <w:color w:val="0F243E"/>
          <w:sz w:val="24"/>
          <w:szCs w:val="24"/>
        </w:rPr>
      </w:pPr>
      <w:r w:rsidRPr="008F013B">
        <w:rPr>
          <w:rFonts w:ascii="Calibri" w:hAnsi="Calibri"/>
          <w:b/>
          <w:color w:val="0F243E"/>
          <w:sz w:val="24"/>
          <w:szCs w:val="24"/>
          <w:u w:val="single"/>
        </w:rPr>
        <w:t>IOWA</w:t>
      </w:r>
    </w:p>
    <w:p w14:paraId="7D62DB4C" w14:textId="77777777" w:rsidR="00935406" w:rsidRPr="00296EB3" w:rsidRDefault="005E6B1F" w:rsidP="00696E3D">
      <w:pPr>
        <w:spacing w:before="120" w:after="120"/>
        <w:jc w:val="both"/>
        <w:rPr>
          <w:rFonts w:ascii="Calibri" w:hAnsi="Calibri"/>
          <w:sz w:val="22"/>
          <w:szCs w:val="22"/>
        </w:rPr>
      </w:pPr>
      <w:r w:rsidRPr="00296EB3">
        <w:rPr>
          <w:rFonts w:ascii="Calibri" w:hAnsi="Calibri"/>
          <w:color w:val="212121"/>
          <w:sz w:val="22"/>
          <w:szCs w:val="22"/>
        </w:rPr>
        <w:t xml:space="preserve">An insurer has no right to subrogation when the subrogor and target are covered by the same policy. </w:t>
      </w:r>
      <w:r w:rsidRPr="00296EB3">
        <w:rPr>
          <w:rFonts w:ascii="Calibri" w:hAnsi="Calibri"/>
          <w:i/>
          <w:color w:val="212121"/>
          <w:sz w:val="22"/>
          <w:szCs w:val="22"/>
        </w:rPr>
        <w:t>Connor v. Thompson Const</w:t>
      </w:r>
      <w:r w:rsidR="007D68B7">
        <w:rPr>
          <w:rFonts w:ascii="Calibri" w:hAnsi="Calibri"/>
          <w:i/>
          <w:color w:val="212121"/>
          <w:sz w:val="22"/>
          <w:szCs w:val="22"/>
        </w:rPr>
        <w:t>r</w:t>
      </w:r>
      <w:r w:rsidRPr="00296EB3">
        <w:rPr>
          <w:rFonts w:ascii="Calibri" w:hAnsi="Calibri"/>
          <w:i/>
          <w:color w:val="212121"/>
          <w:sz w:val="22"/>
          <w:szCs w:val="22"/>
        </w:rPr>
        <w:t>. &amp; Development Co</w:t>
      </w:r>
      <w:r w:rsidR="007D68B7">
        <w:rPr>
          <w:rFonts w:ascii="Calibri" w:hAnsi="Calibri"/>
          <w:color w:val="212121"/>
          <w:sz w:val="22"/>
          <w:szCs w:val="22"/>
        </w:rPr>
        <w:t>., 166 N.W.</w:t>
      </w:r>
      <w:r w:rsidRPr="00296EB3">
        <w:rPr>
          <w:rFonts w:ascii="Calibri" w:hAnsi="Calibri"/>
          <w:color w:val="212121"/>
          <w:sz w:val="22"/>
          <w:szCs w:val="22"/>
        </w:rPr>
        <w:t xml:space="preserve">2d 109 (Iowa 1969). The ASR does not inherently protect a permissive driver because under Iowa Code </w:t>
      </w:r>
      <w:r w:rsidR="00296EB3" w:rsidRPr="00296EB3">
        <w:rPr>
          <w:rFonts w:ascii="Calibri" w:hAnsi="Calibri"/>
          <w:color w:val="212121"/>
          <w:sz w:val="22"/>
          <w:szCs w:val="22"/>
        </w:rPr>
        <w:t>§</w:t>
      </w:r>
      <w:r w:rsidRPr="00296EB3">
        <w:rPr>
          <w:rFonts w:ascii="Calibri" w:hAnsi="Calibri"/>
          <w:color w:val="212121"/>
          <w:sz w:val="22"/>
          <w:szCs w:val="22"/>
        </w:rPr>
        <w:t xml:space="preserve"> 321.493, a permissive driver is not required by law to be an insured under the owner’s liability insurance unless the permissive driver, due to prior driving problems, is required by § 321A to provide proof of financial responsibility. </w:t>
      </w:r>
      <w:r w:rsidRPr="00296EB3">
        <w:rPr>
          <w:rFonts w:ascii="Calibri" w:hAnsi="Calibri"/>
          <w:bCs/>
          <w:i/>
          <w:color w:val="212121"/>
          <w:sz w:val="22"/>
          <w:szCs w:val="22"/>
        </w:rPr>
        <w:t>Universal Underwriters Ins. Co. v. American Family Ins.</w:t>
      </w:r>
      <w:r w:rsidRPr="00296EB3">
        <w:rPr>
          <w:rFonts w:ascii="Calibri" w:hAnsi="Calibri"/>
          <w:bCs/>
          <w:color w:val="212121"/>
          <w:sz w:val="22"/>
          <w:szCs w:val="22"/>
        </w:rPr>
        <w:t xml:space="preserve"> </w:t>
      </w:r>
      <w:r w:rsidRPr="00296EB3">
        <w:rPr>
          <w:rFonts w:ascii="Calibri" w:hAnsi="Calibri"/>
          <w:bCs/>
          <w:i/>
          <w:color w:val="212121"/>
          <w:sz w:val="22"/>
          <w:szCs w:val="22"/>
        </w:rPr>
        <w:t>Group</w:t>
      </w:r>
      <w:r w:rsidRPr="00296EB3">
        <w:rPr>
          <w:rFonts w:ascii="Calibri" w:hAnsi="Calibri"/>
          <w:bCs/>
          <w:color w:val="212121"/>
          <w:sz w:val="22"/>
          <w:szCs w:val="22"/>
        </w:rPr>
        <w:t>,</w:t>
      </w:r>
      <w:r w:rsidRPr="00296EB3">
        <w:rPr>
          <w:rFonts w:ascii="Calibri" w:hAnsi="Calibri"/>
          <w:bCs/>
          <w:i/>
          <w:color w:val="212121"/>
          <w:sz w:val="22"/>
          <w:szCs w:val="22"/>
        </w:rPr>
        <w:t xml:space="preserve"> </w:t>
      </w:r>
      <w:r w:rsidRPr="00296EB3">
        <w:rPr>
          <w:rFonts w:ascii="Calibri" w:hAnsi="Calibri"/>
          <w:color w:val="212121"/>
          <w:sz w:val="22"/>
          <w:szCs w:val="22"/>
        </w:rPr>
        <w:t xml:space="preserve">587 N.W.2d 224 (Iowa 1998). </w:t>
      </w:r>
      <w:r w:rsidRPr="00296EB3">
        <w:rPr>
          <w:rFonts w:ascii="Calibri" w:hAnsi="Calibri"/>
          <w:iCs/>
          <w:color w:val="212121"/>
          <w:sz w:val="22"/>
          <w:szCs w:val="22"/>
        </w:rPr>
        <w:t xml:space="preserve">A permissive driver can be an insured under another’s policy where the vehicle the permissive driver was operating was a hired vehicle that the permissive driver did not own. </w:t>
      </w:r>
      <w:r w:rsidRPr="00296EB3">
        <w:rPr>
          <w:rFonts w:ascii="Calibri" w:hAnsi="Calibri"/>
          <w:bCs/>
          <w:i/>
          <w:color w:val="212121"/>
          <w:sz w:val="22"/>
          <w:szCs w:val="22"/>
        </w:rPr>
        <w:t>United Suppliers, Inc. v. Hanson</w:t>
      </w:r>
      <w:r w:rsidRPr="00296EB3">
        <w:rPr>
          <w:rFonts w:ascii="Calibri" w:hAnsi="Calibri"/>
          <w:bCs/>
          <w:color w:val="212121"/>
          <w:sz w:val="22"/>
          <w:szCs w:val="22"/>
        </w:rPr>
        <w:t xml:space="preserve">, </w:t>
      </w:r>
      <w:r w:rsidRPr="00296EB3">
        <w:rPr>
          <w:rFonts w:ascii="Calibri" w:hAnsi="Calibri"/>
          <w:color w:val="212121"/>
          <w:sz w:val="22"/>
          <w:szCs w:val="22"/>
        </w:rPr>
        <w:t>876 N.W.2d 765 (Iowa 2016). Subrogation is still permissible against a contractor when a home is damaged in a fire after the ho</w:t>
      </w:r>
      <w:r w:rsidR="00917FAD" w:rsidRPr="00296EB3">
        <w:rPr>
          <w:rFonts w:ascii="Calibri" w:hAnsi="Calibri"/>
          <w:color w:val="212121"/>
          <w:sz w:val="22"/>
          <w:szCs w:val="22"/>
        </w:rPr>
        <w:t>meowners had moved in because</w:t>
      </w:r>
      <w:r w:rsidR="00296EB3" w:rsidRPr="00296EB3">
        <w:rPr>
          <w:rFonts w:ascii="Calibri" w:hAnsi="Calibri"/>
          <w:color w:val="212121"/>
          <w:sz w:val="22"/>
          <w:szCs w:val="22"/>
        </w:rPr>
        <w:t xml:space="preserve"> a</w:t>
      </w:r>
      <w:r w:rsidRPr="00296EB3">
        <w:rPr>
          <w:rFonts w:ascii="Calibri" w:hAnsi="Calibri"/>
          <w:color w:val="212121"/>
          <w:sz w:val="22"/>
          <w:szCs w:val="22"/>
        </w:rPr>
        <w:t xml:space="preserve"> homeowner does not become the contractor’s insurer upon agreeing to maintain builders’ risk insurance during construction, the homeowner is not obligated to include the contractor as a named insured on their insurance, and any protections that the builders’ risk insurance extended to the contractor terminated once the homeowner moves into the home. </w:t>
      </w:r>
      <w:r w:rsidRPr="00296EB3">
        <w:rPr>
          <w:rFonts w:ascii="Calibri" w:hAnsi="Calibri"/>
          <w:i/>
          <w:color w:val="212121"/>
          <w:sz w:val="22"/>
          <w:szCs w:val="22"/>
        </w:rPr>
        <w:t>Hendricks v. Great Plains Supply Co.</w:t>
      </w:r>
      <w:r w:rsidRPr="00296EB3">
        <w:rPr>
          <w:rFonts w:ascii="Calibri" w:hAnsi="Calibri"/>
          <w:color w:val="212121"/>
          <w:sz w:val="22"/>
          <w:szCs w:val="22"/>
        </w:rPr>
        <w:t>, 609 N.W.2d 486 (Iowa 2000).</w:t>
      </w:r>
      <w:r w:rsidR="007D68B7">
        <w:rPr>
          <w:rFonts w:ascii="Calibri" w:hAnsi="Calibri"/>
          <w:color w:val="212121"/>
          <w:sz w:val="22"/>
          <w:szCs w:val="22"/>
        </w:rPr>
        <w:t xml:space="preserve"> </w:t>
      </w:r>
      <w:r w:rsidR="00296EB3" w:rsidRPr="00296EB3">
        <w:rPr>
          <w:rFonts w:ascii="Calibri" w:hAnsi="Calibri"/>
          <w:bCs/>
          <w:color w:val="212121"/>
          <w:sz w:val="22"/>
          <w:szCs w:val="22"/>
        </w:rPr>
        <w:t xml:space="preserve">In </w:t>
      </w:r>
      <w:r w:rsidRPr="00296EB3">
        <w:rPr>
          <w:rFonts w:ascii="Calibri" w:hAnsi="Calibri"/>
          <w:bCs/>
          <w:i/>
          <w:color w:val="212121"/>
          <w:sz w:val="22"/>
          <w:szCs w:val="22"/>
        </w:rPr>
        <w:t>Hanson</w:t>
      </w:r>
      <w:r w:rsidRPr="00296EB3">
        <w:rPr>
          <w:rFonts w:ascii="Calibri" w:hAnsi="Calibri"/>
          <w:bCs/>
          <w:color w:val="212121"/>
          <w:sz w:val="22"/>
          <w:szCs w:val="22"/>
        </w:rPr>
        <w:t xml:space="preserve">, </w:t>
      </w:r>
      <w:r w:rsidRPr="00296EB3">
        <w:rPr>
          <w:rFonts w:ascii="Calibri" w:hAnsi="Calibri"/>
          <w:color w:val="212121"/>
          <w:sz w:val="22"/>
          <w:szCs w:val="22"/>
        </w:rPr>
        <w:t>United Suppliers (US) hired R. Hanson Trucking</w:t>
      </w:r>
      <w:r w:rsidR="007D68B7">
        <w:rPr>
          <w:rFonts w:ascii="Calibri" w:hAnsi="Calibri"/>
          <w:color w:val="212121"/>
          <w:sz w:val="22"/>
          <w:szCs w:val="22"/>
        </w:rPr>
        <w:t>,</w:t>
      </w:r>
      <w:r w:rsidRPr="00296EB3">
        <w:rPr>
          <w:rFonts w:ascii="Calibri" w:hAnsi="Calibri"/>
          <w:color w:val="212121"/>
          <w:sz w:val="22"/>
          <w:szCs w:val="22"/>
        </w:rPr>
        <w:t xml:space="preserve"> Inc. (Hanson) to transport chemical shipments on behalf of U</w:t>
      </w:r>
      <w:r w:rsidR="00296EB3" w:rsidRPr="00296EB3">
        <w:rPr>
          <w:rFonts w:ascii="Calibri" w:hAnsi="Calibri"/>
          <w:color w:val="212121"/>
          <w:sz w:val="22"/>
          <w:szCs w:val="22"/>
        </w:rPr>
        <w:t>S</w:t>
      </w:r>
      <w:r w:rsidRPr="00296EB3">
        <w:rPr>
          <w:rFonts w:ascii="Calibri" w:hAnsi="Calibri"/>
          <w:color w:val="212121"/>
          <w:sz w:val="22"/>
          <w:szCs w:val="22"/>
        </w:rPr>
        <w:t xml:space="preserve">. DiRisio was hired by Hanson to drive the vehicle that would be handling the chemical shipments. DiRisio was subsequently involved in a one vehicle accident, which US’s insurer, Nationwide, paid for, and then subsequently sought to subrogate against DiRisio and Hanson for the costs related to the accident. </w:t>
      </w:r>
      <w:r w:rsidR="00296EB3" w:rsidRPr="00296EB3">
        <w:rPr>
          <w:rFonts w:ascii="Calibri" w:hAnsi="Calibri"/>
          <w:color w:val="212121"/>
          <w:sz w:val="22"/>
          <w:szCs w:val="22"/>
        </w:rPr>
        <w:t>The c</w:t>
      </w:r>
      <w:r w:rsidRPr="00296EB3">
        <w:rPr>
          <w:rFonts w:ascii="Calibri" w:hAnsi="Calibri"/>
          <w:color w:val="212121"/>
          <w:sz w:val="22"/>
          <w:szCs w:val="22"/>
        </w:rPr>
        <w:t>ourt found that DiRisio was an insured under US’s nationwide policy due to the policy’s “Business Auto Coverage Form” that extended US’s coverage to a hired or borrowed vehicle that was not driven by “[t]he owner or anyone else from whom [United Suppliers] hire[d] or borrow[ed] a covered ‘auto</w:t>
      </w:r>
      <w:r w:rsidR="007D68B7">
        <w:rPr>
          <w:rFonts w:ascii="Calibri" w:hAnsi="Calibri"/>
          <w:color w:val="212121"/>
          <w:sz w:val="22"/>
          <w:szCs w:val="22"/>
        </w:rPr>
        <w:t>’</w:t>
      </w:r>
      <w:r w:rsidRPr="00296EB3">
        <w:rPr>
          <w:rFonts w:ascii="Calibri" w:hAnsi="Calibri"/>
          <w:color w:val="212121"/>
          <w:sz w:val="22"/>
          <w:szCs w:val="22"/>
        </w:rPr>
        <w:t>.” This language was found to make DiRisio an insured under US’s Nationwide policy, meaning that the ASR pro</w:t>
      </w:r>
      <w:r w:rsidR="00296EB3" w:rsidRPr="00296EB3">
        <w:rPr>
          <w:rFonts w:ascii="Calibri" w:hAnsi="Calibri"/>
          <w:color w:val="212121"/>
          <w:sz w:val="22"/>
          <w:szCs w:val="22"/>
        </w:rPr>
        <w:t>tected DiRisio from subrogation</w:t>
      </w:r>
      <w:r w:rsidRPr="00296EB3">
        <w:rPr>
          <w:rFonts w:ascii="Calibri" w:hAnsi="Calibri"/>
          <w:color w:val="212121"/>
          <w:sz w:val="22"/>
          <w:szCs w:val="22"/>
        </w:rPr>
        <w:t xml:space="preserve"> and also protected Hanson from derivative liability.</w:t>
      </w:r>
    </w:p>
    <w:p w14:paraId="5483EFD0" w14:textId="77777777" w:rsidR="00EC1A54" w:rsidRPr="008F013B" w:rsidRDefault="00935406" w:rsidP="00296EB3">
      <w:pPr>
        <w:keepNext/>
        <w:spacing w:before="240" w:after="120"/>
        <w:jc w:val="both"/>
        <w:rPr>
          <w:rFonts w:ascii="Calibri" w:hAnsi="Calibri"/>
          <w:color w:val="0F243E"/>
          <w:sz w:val="24"/>
          <w:szCs w:val="24"/>
        </w:rPr>
      </w:pPr>
      <w:r w:rsidRPr="008F013B">
        <w:rPr>
          <w:rFonts w:ascii="Calibri" w:hAnsi="Calibri"/>
          <w:b/>
          <w:color w:val="0F243E"/>
          <w:sz w:val="24"/>
          <w:szCs w:val="24"/>
          <w:u w:val="single"/>
        </w:rPr>
        <w:t>KANSAS</w:t>
      </w:r>
    </w:p>
    <w:p w14:paraId="19E4166F" w14:textId="5AFFE93C" w:rsidR="00A600F5" w:rsidRPr="00A600F5" w:rsidRDefault="00407205" w:rsidP="00696E3D">
      <w:pPr>
        <w:spacing w:before="120" w:after="120"/>
        <w:jc w:val="both"/>
        <w:rPr>
          <w:rFonts w:ascii="Calibri" w:hAnsi="Calibri" w:cs="Times New Roman"/>
          <w:sz w:val="22"/>
          <w:szCs w:val="22"/>
        </w:rPr>
      </w:pPr>
      <w:r w:rsidRPr="00296EB3">
        <w:rPr>
          <w:rFonts w:ascii="Calibri" w:hAnsi="Calibri" w:cs="Times New Roman"/>
          <w:sz w:val="22"/>
          <w:szCs w:val="22"/>
        </w:rPr>
        <w:t xml:space="preserve">It is generally stated that no right of subrogation arises against a person who is not a named insured but holds the status of an </w:t>
      </w:r>
      <w:r w:rsidRPr="00A600F5">
        <w:rPr>
          <w:rFonts w:ascii="Calibri" w:hAnsi="Calibri" w:cs="Times New Roman"/>
          <w:i/>
          <w:sz w:val="22"/>
          <w:szCs w:val="22"/>
        </w:rPr>
        <w:t>additional insured</w:t>
      </w:r>
      <w:r w:rsidRPr="00296EB3">
        <w:rPr>
          <w:rFonts w:ascii="Calibri" w:hAnsi="Calibri" w:cs="Times New Roman"/>
          <w:sz w:val="22"/>
          <w:szCs w:val="22"/>
        </w:rPr>
        <w:t xml:space="preserve"> under the policy since it must have been the intention of the parties to protect this additional insured from the consequences of his negligence by including him in the insurance coverage.</w:t>
      </w:r>
      <w:r w:rsidR="00296EB3" w:rsidRPr="00296EB3">
        <w:rPr>
          <w:rFonts w:ascii="Calibri" w:hAnsi="Calibri" w:cs="Times New Roman"/>
          <w:sz w:val="22"/>
          <w:szCs w:val="22"/>
        </w:rPr>
        <w:t xml:space="preserve"> </w:t>
      </w:r>
      <w:r w:rsidRPr="00296EB3">
        <w:rPr>
          <w:rFonts w:ascii="Calibri" w:hAnsi="Calibri" w:cs="Times New Roman"/>
          <w:i/>
          <w:sz w:val="22"/>
          <w:szCs w:val="22"/>
        </w:rPr>
        <w:t>Id</w:t>
      </w:r>
      <w:r w:rsidRPr="00296EB3">
        <w:rPr>
          <w:rFonts w:ascii="Calibri" w:hAnsi="Calibri" w:cs="Times New Roman"/>
          <w:sz w:val="22"/>
          <w:szCs w:val="22"/>
        </w:rPr>
        <w:t>. An auto</w:t>
      </w:r>
      <w:r w:rsidR="00296EB3" w:rsidRPr="00296EB3">
        <w:rPr>
          <w:rFonts w:ascii="Calibri" w:hAnsi="Calibri" w:cs="Times New Roman"/>
          <w:sz w:val="22"/>
          <w:szCs w:val="22"/>
        </w:rPr>
        <w:t xml:space="preserve"> dealership’</w:t>
      </w:r>
      <w:r w:rsidRPr="00296EB3">
        <w:rPr>
          <w:rFonts w:ascii="Calibri" w:hAnsi="Calibri" w:cs="Times New Roman"/>
          <w:sz w:val="22"/>
          <w:szCs w:val="22"/>
        </w:rPr>
        <w:t xml:space="preserve">s insurance contract did not include </w:t>
      </w:r>
      <w:r w:rsidR="00296EB3" w:rsidRPr="00296EB3">
        <w:rPr>
          <w:rFonts w:ascii="Calibri" w:hAnsi="Calibri" w:cs="Times New Roman"/>
          <w:sz w:val="22"/>
          <w:szCs w:val="22"/>
        </w:rPr>
        <w:t xml:space="preserve">the </w:t>
      </w:r>
      <w:r w:rsidRPr="00296EB3">
        <w:rPr>
          <w:rFonts w:ascii="Calibri" w:hAnsi="Calibri" w:cs="Times New Roman"/>
          <w:sz w:val="22"/>
          <w:szCs w:val="22"/>
        </w:rPr>
        <w:t xml:space="preserve">bailee as </w:t>
      </w:r>
      <w:r w:rsidR="00296EB3" w:rsidRPr="00296EB3">
        <w:rPr>
          <w:rFonts w:ascii="Calibri" w:hAnsi="Calibri" w:cs="Times New Roman"/>
          <w:sz w:val="22"/>
          <w:szCs w:val="22"/>
        </w:rPr>
        <w:t xml:space="preserve">an </w:t>
      </w:r>
      <w:r w:rsidRPr="00296EB3">
        <w:rPr>
          <w:rFonts w:ascii="Calibri" w:hAnsi="Calibri" w:cs="Times New Roman"/>
          <w:sz w:val="22"/>
          <w:szCs w:val="22"/>
        </w:rPr>
        <w:t>insured, and thus</w:t>
      </w:r>
      <w:r w:rsidR="00296EB3" w:rsidRPr="00296EB3">
        <w:rPr>
          <w:rFonts w:ascii="Calibri" w:hAnsi="Calibri" w:cs="Times New Roman"/>
          <w:sz w:val="22"/>
          <w:szCs w:val="22"/>
        </w:rPr>
        <w:t xml:space="preserve"> the</w:t>
      </w:r>
      <w:r w:rsidRPr="00296EB3">
        <w:rPr>
          <w:rFonts w:ascii="Calibri" w:hAnsi="Calibri" w:cs="Times New Roman"/>
          <w:sz w:val="22"/>
          <w:szCs w:val="22"/>
        </w:rPr>
        <w:t xml:space="preserve"> insurer could assert </w:t>
      </w:r>
      <w:r w:rsidR="00296EB3" w:rsidRPr="00296EB3">
        <w:rPr>
          <w:rFonts w:ascii="Calibri" w:hAnsi="Calibri" w:cs="Times New Roman"/>
          <w:sz w:val="22"/>
          <w:szCs w:val="22"/>
        </w:rPr>
        <w:t xml:space="preserve">a </w:t>
      </w:r>
      <w:r w:rsidRPr="00296EB3">
        <w:rPr>
          <w:rFonts w:ascii="Calibri" w:hAnsi="Calibri" w:cs="Times New Roman"/>
          <w:sz w:val="22"/>
          <w:szCs w:val="22"/>
        </w:rPr>
        <w:t xml:space="preserve">subrogation claim against </w:t>
      </w:r>
      <w:r w:rsidR="00296EB3" w:rsidRPr="00296EB3">
        <w:rPr>
          <w:rFonts w:ascii="Calibri" w:hAnsi="Calibri" w:cs="Times New Roman"/>
          <w:sz w:val="22"/>
          <w:szCs w:val="22"/>
        </w:rPr>
        <w:t xml:space="preserve">the </w:t>
      </w:r>
      <w:r w:rsidRPr="00296EB3">
        <w:rPr>
          <w:rFonts w:ascii="Calibri" w:hAnsi="Calibri" w:cs="Times New Roman"/>
          <w:sz w:val="22"/>
          <w:szCs w:val="22"/>
        </w:rPr>
        <w:t xml:space="preserve">bailee to recover damages arising from </w:t>
      </w:r>
      <w:r w:rsidR="00296EB3" w:rsidRPr="00296EB3">
        <w:rPr>
          <w:rFonts w:ascii="Calibri" w:hAnsi="Calibri" w:cs="Times New Roman"/>
          <w:sz w:val="22"/>
          <w:szCs w:val="22"/>
        </w:rPr>
        <w:t>the collision caused by bailee’</w:t>
      </w:r>
      <w:r w:rsidRPr="00296EB3">
        <w:rPr>
          <w:rFonts w:ascii="Calibri" w:hAnsi="Calibri" w:cs="Times New Roman"/>
          <w:sz w:val="22"/>
          <w:szCs w:val="22"/>
        </w:rPr>
        <w:t xml:space="preserve">s negligence. </w:t>
      </w:r>
      <w:r w:rsidRPr="00296EB3">
        <w:rPr>
          <w:rFonts w:ascii="Calibri" w:hAnsi="Calibri" w:cs="Times New Roman"/>
          <w:i/>
          <w:sz w:val="22"/>
          <w:szCs w:val="22"/>
        </w:rPr>
        <w:t>Western Motor Co. v. Koehn</w:t>
      </w:r>
      <w:r w:rsidRPr="00296EB3">
        <w:rPr>
          <w:rFonts w:ascii="Calibri" w:hAnsi="Calibri" w:cs="Times New Roman"/>
          <w:sz w:val="22"/>
          <w:szCs w:val="22"/>
        </w:rPr>
        <w:t>, 748 P.2d 851 (</w:t>
      </w:r>
      <w:r w:rsidR="000C38D9" w:rsidRPr="00296EB3">
        <w:rPr>
          <w:rFonts w:ascii="Calibri" w:hAnsi="Calibri" w:cs="Times New Roman"/>
          <w:sz w:val="22"/>
          <w:szCs w:val="22"/>
        </w:rPr>
        <w:t xml:space="preserve">Kan. </w:t>
      </w:r>
      <w:r w:rsidRPr="00296EB3">
        <w:rPr>
          <w:rFonts w:ascii="Calibri" w:hAnsi="Calibri" w:cs="Times New Roman"/>
          <w:sz w:val="22"/>
          <w:szCs w:val="22"/>
        </w:rPr>
        <w:t xml:space="preserve">1988). </w:t>
      </w:r>
    </w:p>
    <w:p w14:paraId="5E3D5B71" w14:textId="77777777" w:rsidR="00407205" w:rsidRDefault="00407205" w:rsidP="00696E3D">
      <w:pPr>
        <w:spacing w:before="120" w:after="120"/>
        <w:jc w:val="both"/>
        <w:rPr>
          <w:rFonts w:ascii="Calibri" w:hAnsi="Calibri" w:cs="Times New Roman"/>
          <w:sz w:val="22"/>
          <w:szCs w:val="22"/>
        </w:rPr>
      </w:pPr>
      <w:r w:rsidRPr="00296EB3">
        <w:rPr>
          <w:rFonts w:ascii="Calibri" w:hAnsi="Calibri" w:cs="Times New Roman"/>
          <w:sz w:val="22"/>
          <w:szCs w:val="22"/>
        </w:rPr>
        <w:t xml:space="preserve">An insurance carrier that insures both a physician and his professional corporation for medical malpractice cannot sue the negligent physician for indemnification for sums paid on behalf of the corporation. </w:t>
      </w:r>
      <w:r w:rsidRPr="00296EB3">
        <w:rPr>
          <w:rFonts w:ascii="Calibri" w:hAnsi="Calibri" w:cs="Times New Roman"/>
          <w:bCs/>
          <w:i/>
          <w:sz w:val="22"/>
          <w:szCs w:val="22"/>
        </w:rPr>
        <w:t>Obstetrics &amp; Gynecology</w:t>
      </w:r>
      <w:r w:rsidR="00296EB3" w:rsidRPr="00296EB3">
        <w:rPr>
          <w:rFonts w:ascii="Calibri" w:hAnsi="Calibri" w:cs="Times New Roman"/>
          <w:bCs/>
          <w:i/>
          <w:sz w:val="22"/>
          <w:szCs w:val="22"/>
        </w:rPr>
        <w:t>,</w:t>
      </w:r>
      <w:r w:rsidRPr="00296EB3">
        <w:rPr>
          <w:rFonts w:ascii="Calibri" w:hAnsi="Calibri" w:cs="Times New Roman"/>
          <w:bCs/>
          <w:i/>
          <w:sz w:val="22"/>
          <w:szCs w:val="22"/>
        </w:rPr>
        <w:t xml:space="preserve"> Ltd. of Kansas City, Inc. v. Buckner</w:t>
      </w:r>
      <w:r w:rsidRPr="00296EB3">
        <w:rPr>
          <w:rFonts w:ascii="Calibri" w:hAnsi="Calibri" w:cs="Times New Roman"/>
          <w:bCs/>
          <w:sz w:val="22"/>
          <w:szCs w:val="22"/>
        </w:rPr>
        <w:t xml:space="preserve">, </w:t>
      </w:r>
      <w:r w:rsidRPr="00296EB3">
        <w:rPr>
          <w:rFonts w:ascii="Calibri" w:hAnsi="Calibri" w:cs="Times New Roman"/>
          <w:sz w:val="22"/>
          <w:szCs w:val="22"/>
        </w:rPr>
        <w:t>795 P.2d 386 (</w:t>
      </w:r>
      <w:r w:rsidR="00730F58" w:rsidRPr="00296EB3">
        <w:rPr>
          <w:rFonts w:ascii="Calibri" w:hAnsi="Calibri" w:cs="Times New Roman"/>
          <w:sz w:val="22"/>
          <w:szCs w:val="22"/>
        </w:rPr>
        <w:t xml:space="preserve">Kan. </w:t>
      </w:r>
      <w:r w:rsidRPr="00296EB3">
        <w:rPr>
          <w:rFonts w:ascii="Calibri" w:hAnsi="Calibri" w:cs="Times New Roman"/>
          <w:sz w:val="22"/>
          <w:szCs w:val="22"/>
        </w:rPr>
        <w:t>1990).</w:t>
      </w:r>
    </w:p>
    <w:p w14:paraId="72E9E3F3" w14:textId="77777777" w:rsidR="006318A0" w:rsidRPr="008F013B" w:rsidRDefault="00935406" w:rsidP="00296EB3">
      <w:pPr>
        <w:spacing w:before="240" w:after="120"/>
        <w:jc w:val="both"/>
        <w:rPr>
          <w:rFonts w:ascii="Calibri" w:hAnsi="Calibri"/>
          <w:b/>
          <w:color w:val="0F243E"/>
          <w:sz w:val="24"/>
          <w:szCs w:val="24"/>
        </w:rPr>
      </w:pPr>
      <w:r w:rsidRPr="008F013B">
        <w:rPr>
          <w:rFonts w:ascii="Calibri" w:hAnsi="Calibri"/>
          <w:b/>
          <w:color w:val="0F243E"/>
          <w:sz w:val="24"/>
          <w:szCs w:val="24"/>
          <w:u w:val="single"/>
        </w:rPr>
        <w:t>KENTUCKY</w:t>
      </w:r>
    </w:p>
    <w:p w14:paraId="11DAE2AF" w14:textId="77777777" w:rsidR="009E67C2" w:rsidRPr="00296EB3" w:rsidRDefault="007D68B7" w:rsidP="00696E3D">
      <w:pPr>
        <w:spacing w:before="120" w:after="120"/>
        <w:rPr>
          <w:rFonts w:ascii="Calibri" w:hAnsi="Calibri"/>
          <w:sz w:val="22"/>
          <w:szCs w:val="22"/>
        </w:rPr>
      </w:pPr>
      <w:r>
        <w:rPr>
          <w:rFonts w:ascii="Calibri" w:hAnsi="Calibri"/>
          <w:sz w:val="22"/>
          <w:szCs w:val="22"/>
        </w:rPr>
        <w:t>ASR</w:t>
      </w:r>
      <w:r w:rsidR="009E67C2" w:rsidRPr="00296EB3">
        <w:rPr>
          <w:rFonts w:ascii="Calibri" w:hAnsi="Calibri"/>
          <w:sz w:val="22"/>
          <w:szCs w:val="22"/>
        </w:rPr>
        <w:t xml:space="preserve"> yet to be determined.</w:t>
      </w:r>
    </w:p>
    <w:p w14:paraId="1536FB5D" w14:textId="77777777" w:rsidR="00B04CB9" w:rsidRPr="008F013B" w:rsidRDefault="00935406" w:rsidP="00296EB3">
      <w:pPr>
        <w:spacing w:before="240" w:after="120"/>
        <w:rPr>
          <w:rStyle w:val="Emphasis"/>
          <w:rFonts w:ascii="Calibri" w:hAnsi="Calibri"/>
          <w:color w:val="0F243E"/>
          <w:sz w:val="24"/>
          <w:szCs w:val="24"/>
          <w:bdr w:val="none" w:sz="0" w:space="0" w:color="auto" w:frame="1"/>
          <w:shd w:val="clear" w:color="auto" w:fill="FFFFFF"/>
        </w:rPr>
      </w:pPr>
      <w:r w:rsidRPr="008F013B">
        <w:rPr>
          <w:rFonts w:ascii="Calibri" w:hAnsi="Calibri"/>
          <w:b/>
          <w:color w:val="0F243E"/>
          <w:sz w:val="24"/>
          <w:szCs w:val="24"/>
          <w:u w:val="single"/>
        </w:rPr>
        <w:t>LOUISIANA</w:t>
      </w:r>
    </w:p>
    <w:p w14:paraId="7955E391" w14:textId="18E498B2" w:rsidR="002C1760" w:rsidRPr="002C1760" w:rsidRDefault="002C1760" w:rsidP="00BA2F54">
      <w:pPr>
        <w:autoSpaceDE/>
        <w:autoSpaceDN/>
        <w:adjustRightInd/>
        <w:jc w:val="both"/>
        <w:rPr>
          <w:rFonts w:ascii="Calibri" w:eastAsia="Calibri" w:hAnsi="Calibri" w:cs="Times New Roman"/>
          <w:sz w:val="22"/>
          <w:szCs w:val="22"/>
        </w:rPr>
      </w:pPr>
      <w:r w:rsidRPr="002C1760">
        <w:rPr>
          <w:rFonts w:ascii="Calibri" w:eastAsia="Calibri" w:hAnsi="Calibri" w:cs="Times New Roman"/>
          <w:sz w:val="22"/>
          <w:szCs w:val="22"/>
        </w:rPr>
        <w:t xml:space="preserve">An insurer has “no cause of action against a co-insured as subrogor of the named insured.” </w:t>
      </w:r>
      <w:proofErr w:type="spellStart"/>
      <w:r w:rsidRPr="002C1760">
        <w:rPr>
          <w:rFonts w:ascii="Calibri" w:eastAsia="Calibri" w:hAnsi="Calibri" w:cs="Times New Roman"/>
          <w:i/>
          <w:iCs/>
          <w:sz w:val="22"/>
          <w:szCs w:val="22"/>
        </w:rPr>
        <w:t>Olinkraft</w:t>
      </w:r>
      <w:proofErr w:type="spellEnd"/>
      <w:r w:rsidRPr="002C1760">
        <w:rPr>
          <w:rFonts w:ascii="Calibri" w:eastAsia="Calibri" w:hAnsi="Calibri" w:cs="Times New Roman"/>
          <w:i/>
          <w:iCs/>
          <w:sz w:val="22"/>
          <w:szCs w:val="22"/>
        </w:rPr>
        <w:t xml:space="preserve">, Inc. v. Anco Insulation, Inc., </w:t>
      </w:r>
      <w:r w:rsidRPr="002C1760">
        <w:rPr>
          <w:rFonts w:ascii="Calibri" w:eastAsia="Calibri" w:hAnsi="Calibri" w:cs="Times New Roman"/>
          <w:sz w:val="22"/>
          <w:szCs w:val="22"/>
        </w:rPr>
        <w:t xml:space="preserve">376 So.2d 1301 (La. Ct. App. 1979). An insurer has no right of action against a co-insured of the subrogor for a fire loss caused by the negligence of co-insured, absent design or fraud on part of co-insured. </w:t>
      </w:r>
      <w:r w:rsidRPr="002C1760">
        <w:rPr>
          <w:rFonts w:ascii="Calibri" w:eastAsia="Calibri" w:hAnsi="Calibri" w:cs="Times New Roman"/>
          <w:i/>
          <w:iCs/>
          <w:sz w:val="22"/>
          <w:szCs w:val="22"/>
        </w:rPr>
        <w:t xml:space="preserve">State Farm Fire &amp; Cas. Co. v. Sentry </w:t>
      </w:r>
      <w:proofErr w:type="spellStart"/>
      <w:r w:rsidRPr="002C1760">
        <w:rPr>
          <w:rFonts w:ascii="Calibri" w:eastAsia="Calibri" w:hAnsi="Calibri" w:cs="Times New Roman"/>
          <w:i/>
          <w:iCs/>
          <w:sz w:val="22"/>
          <w:szCs w:val="22"/>
        </w:rPr>
        <w:t>Indem</w:t>
      </w:r>
      <w:proofErr w:type="spellEnd"/>
      <w:r w:rsidRPr="002C1760">
        <w:rPr>
          <w:rFonts w:ascii="Calibri" w:eastAsia="Calibri" w:hAnsi="Calibri" w:cs="Times New Roman"/>
          <w:i/>
          <w:iCs/>
          <w:sz w:val="22"/>
          <w:szCs w:val="22"/>
        </w:rPr>
        <w:t>. Co</w:t>
      </w:r>
      <w:r w:rsidRPr="002C1760">
        <w:rPr>
          <w:rFonts w:ascii="Calibri" w:eastAsia="Calibri" w:hAnsi="Calibri" w:cs="Times New Roman"/>
          <w:sz w:val="22"/>
          <w:szCs w:val="22"/>
        </w:rPr>
        <w:t xml:space="preserve">., 316 So.2d 185 (La. Ct. App. 1975). The Louisiana ASR is that an insurance company, which has paid a claim </w:t>
      </w:r>
      <w:r w:rsidRPr="002C1760">
        <w:rPr>
          <w:rFonts w:ascii="Calibri" w:eastAsia="Calibri" w:hAnsi="Calibri" w:cs="Times New Roman"/>
          <w:i/>
          <w:iCs/>
          <w:sz w:val="22"/>
          <w:szCs w:val="22"/>
        </w:rPr>
        <w:t>and taken subrogation</w:t>
      </w:r>
      <w:r w:rsidRPr="002C1760">
        <w:rPr>
          <w:rFonts w:ascii="Calibri" w:eastAsia="Calibri" w:hAnsi="Calibri" w:cs="Times New Roman"/>
          <w:sz w:val="22"/>
          <w:szCs w:val="22"/>
        </w:rPr>
        <w:t xml:space="preserve"> </w:t>
      </w:r>
      <w:r w:rsidR="003207D4">
        <w:rPr>
          <w:rFonts w:ascii="Calibri" w:eastAsia="Calibri" w:hAnsi="Calibri" w:cs="Times New Roman"/>
          <w:sz w:val="22"/>
          <w:szCs w:val="22"/>
        </w:rPr>
        <w:t>action</w:t>
      </w:r>
      <w:r w:rsidRPr="002C1760">
        <w:rPr>
          <w:rFonts w:ascii="Calibri" w:eastAsia="Calibri" w:hAnsi="Calibri" w:cs="Times New Roman"/>
          <w:sz w:val="22"/>
          <w:szCs w:val="22"/>
        </w:rPr>
        <w:t xml:space="preserve">, cannot bring a subrogate suit - a suit asserting the rights of the insured whose claim it </w:t>
      </w:r>
      <w:r>
        <w:rPr>
          <w:rFonts w:ascii="Calibri" w:eastAsia="Calibri" w:hAnsi="Calibri" w:cs="Times New Roman"/>
          <w:sz w:val="22"/>
          <w:szCs w:val="22"/>
        </w:rPr>
        <w:t xml:space="preserve">has </w:t>
      </w:r>
      <w:r w:rsidRPr="002C1760">
        <w:rPr>
          <w:rFonts w:ascii="Calibri" w:eastAsia="Calibri" w:hAnsi="Calibri" w:cs="Times New Roman"/>
          <w:sz w:val="22"/>
          <w:szCs w:val="22"/>
        </w:rPr>
        <w:t>paid - against a co</w:t>
      </w:r>
      <w:r>
        <w:rPr>
          <w:rFonts w:ascii="Calibri" w:eastAsia="Calibri" w:hAnsi="Calibri" w:cs="Times New Roman"/>
          <w:sz w:val="22"/>
          <w:szCs w:val="22"/>
        </w:rPr>
        <w:t>-</w:t>
      </w:r>
      <w:r w:rsidRPr="002C1760">
        <w:rPr>
          <w:rFonts w:ascii="Calibri" w:eastAsia="Calibri" w:hAnsi="Calibri" w:cs="Times New Roman"/>
          <w:sz w:val="22"/>
          <w:szCs w:val="22"/>
        </w:rPr>
        <w:t xml:space="preserve">insured. </w:t>
      </w:r>
      <w:r w:rsidRPr="002C1760">
        <w:rPr>
          <w:rFonts w:ascii="Calibri" w:eastAsia="Calibri" w:hAnsi="Calibri" w:cs="Times New Roman"/>
          <w:i/>
          <w:iCs/>
          <w:sz w:val="22"/>
          <w:szCs w:val="22"/>
        </w:rPr>
        <w:t>Louisiana Fire</w:t>
      </w:r>
      <w:r w:rsidRPr="002C1760">
        <w:rPr>
          <w:rFonts w:ascii="Calibri" w:eastAsia="Calibri" w:hAnsi="Calibri" w:cs="Times New Roman"/>
          <w:sz w:val="22"/>
          <w:szCs w:val="22"/>
        </w:rPr>
        <w:t xml:space="preserve"> </w:t>
      </w:r>
      <w:r w:rsidRPr="002C1760">
        <w:rPr>
          <w:rFonts w:ascii="Calibri" w:eastAsia="Calibri" w:hAnsi="Calibri" w:cs="Times New Roman"/>
          <w:i/>
          <w:iCs/>
          <w:sz w:val="22"/>
          <w:szCs w:val="22"/>
        </w:rPr>
        <w:t>Ins</w:t>
      </w:r>
      <w:r>
        <w:rPr>
          <w:rFonts w:ascii="Calibri" w:eastAsia="Calibri" w:hAnsi="Calibri" w:cs="Times New Roman"/>
          <w:i/>
          <w:iCs/>
          <w:sz w:val="22"/>
          <w:szCs w:val="22"/>
        </w:rPr>
        <w:t>.</w:t>
      </w:r>
      <w:r w:rsidRPr="002C1760">
        <w:rPr>
          <w:rFonts w:ascii="Calibri" w:eastAsia="Calibri" w:hAnsi="Calibri" w:cs="Times New Roman"/>
          <w:i/>
          <w:iCs/>
          <w:sz w:val="22"/>
          <w:szCs w:val="22"/>
        </w:rPr>
        <w:t xml:space="preserve"> Co. v. Royal </w:t>
      </w:r>
      <w:proofErr w:type="spellStart"/>
      <w:r w:rsidRPr="002C1760">
        <w:rPr>
          <w:rFonts w:ascii="Calibri" w:eastAsia="Calibri" w:hAnsi="Calibri" w:cs="Times New Roman"/>
          <w:i/>
          <w:iCs/>
          <w:sz w:val="22"/>
          <w:szCs w:val="22"/>
        </w:rPr>
        <w:t>Indem</w:t>
      </w:r>
      <w:proofErr w:type="spellEnd"/>
      <w:r w:rsidRPr="002C1760">
        <w:rPr>
          <w:rFonts w:ascii="Calibri" w:eastAsia="Calibri" w:hAnsi="Calibri" w:cs="Times New Roman"/>
          <w:i/>
          <w:iCs/>
          <w:sz w:val="22"/>
          <w:szCs w:val="22"/>
        </w:rPr>
        <w:t>. Co.</w:t>
      </w:r>
      <w:r>
        <w:rPr>
          <w:rFonts w:ascii="Calibri" w:eastAsia="Calibri" w:hAnsi="Calibri" w:cs="Times New Roman"/>
          <w:sz w:val="22"/>
          <w:szCs w:val="22"/>
        </w:rPr>
        <w:t>, 38 So.</w:t>
      </w:r>
      <w:r w:rsidRPr="002C1760">
        <w:rPr>
          <w:rFonts w:ascii="Calibri" w:eastAsia="Calibri" w:hAnsi="Calibri" w:cs="Times New Roman"/>
          <w:sz w:val="22"/>
          <w:szCs w:val="22"/>
        </w:rPr>
        <w:t>2d 807, 810 (La. App. 2</w:t>
      </w:r>
      <w:r w:rsidRPr="00BA2F54">
        <w:rPr>
          <w:rFonts w:ascii="Calibri" w:eastAsia="Calibri" w:hAnsi="Calibri" w:cs="Times New Roman"/>
          <w:sz w:val="22"/>
          <w:szCs w:val="22"/>
          <w:vertAlign w:val="superscript"/>
        </w:rPr>
        <w:t>nd</w:t>
      </w:r>
      <w:r>
        <w:rPr>
          <w:rFonts w:ascii="Calibri" w:eastAsia="Calibri" w:hAnsi="Calibri" w:cs="Times New Roman"/>
          <w:sz w:val="22"/>
          <w:szCs w:val="22"/>
        </w:rPr>
        <w:t xml:space="preserve"> </w:t>
      </w:r>
      <w:r w:rsidRPr="002C1760">
        <w:rPr>
          <w:rFonts w:ascii="Calibri" w:eastAsia="Calibri" w:hAnsi="Calibri" w:cs="Times New Roman"/>
          <w:sz w:val="22"/>
          <w:szCs w:val="22"/>
        </w:rPr>
        <w:t xml:space="preserve">Cir. 1949) (emphasis added); </w:t>
      </w:r>
      <w:r w:rsidRPr="00BA2F54">
        <w:rPr>
          <w:rFonts w:ascii="Calibri" w:eastAsia="Calibri" w:hAnsi="Calibri" w:cs="Times New Roman"/>
          <w:i/>
          <w:iCs/>
          <w:sz w:val="22"/>
          <w:szCs w:val="22"/>
          <w:u w:val="single"/>
        </w:rPr>
        <w:t>see</w:t>
      </w:r>
      <w:r w:rsidRPr="002C1760">
        <w:rPr>
          <w:rFonts w:ascii="Calibri" w:eastAsia="Calibri" w:hAnsi="Calibri" w:cs="Times New Roman"/>
          <w:i/>
          <w:iCs/>
          <w:sz w:val="22"/>
          <w:szCs w:val="22"/>
        </w:rPr>
        <w:t xml:space="preserve"> </w:t>
      </w:r>
      <w:r w:rsidRPr="00BA2F54">
        <w:rPr>
          <w:rFonts w:ascii="Calibri" w:eastAsia="Calibri" w:hAnsi="Calibri" w:cs="Times New Roman"/>
          <w:i/>
          <w:iCs/>
          <w:sz w:val="22"/>
          <w:szCs w:val="22"/>
          <w:u w:val="single"/>
        </w:rPr>
        <w:t>also</w:t>
      </w:r>
      <w:r w:rsidRPr="002C1760">
        <w:rPr>
          <w:rFonts w:ascii="Calibri" w:eastAsia="Calibri" w:hAnsi="Calibri" w:cs="Times New Roman"/>
          <w:i/>
          <w:iCs/>
          <w:sz w:val="22"/>
          <w:szCs w:val="22"/>
        </w:rPr>
        <w:t xml:space="preserve"> Holden v. Connex-</w:t>
      </w:r>
      <w:proofErr w:type="spellStart"/>
      <w:r w:rsidRPr="002C1760">
        <w:rPr>
          <w:rFonts w:ascii="Calibri" w:eastAsia="Calibri" w:hAnsi="Calibri" w:cs="Times New Roman"/>
          <w:i/>
          <w:iCs/>
          <w:sz w:val="22"/>
          <w:szCs w:val="22"/>
        </w:rPr>
        <w:t>Metalna</w:t>
      </w:r>
      <w:proofErr w:type="spellEnd"/>
      <w:r w:rsidRPr="002C1760">
        <w:rPr>
          <w:rFonts w:ascii="Calibri" w:eastAsia="Calibri" w:hAnsi="Calibri" w:cs="Times New Roman"/>
          <w:sz w:val="22"/>
          <w:szCs w:val="22"/>
        </w:rPr>
        <w:t xml:space="preserve">, No. CIV.A.98-3326, 2000 WL 1818530, at *8 (E.D. La. Dec. 12, 2000); </w:t>
      </w:r>
      <w:r w:rsidRPr="002C1760">
        <w:rPr>
          <w:rFonts w:ascii="Calibri" w:eastAsia="Calibri" w:hAnsi="Calibri" w:cs="Times New Roman"/>
          <w:i/>
          <w:iCs/>
          <w:sz w:val="22"/>
          <w:szCs w:val="22"/>
        </w:rPr>
        <w:t xml:space="preserve">Lloyd’s Syndicate 457 v. </w:t>
      </w:r>
      <w:proofErr w:type="spellStart"/>
      <w:r w:rsidRPr="002C1760">
        <w:rPr>
          <w:rFonts w:ascii="Calibri" w:eastAsia="Calibri" w:hAnsi="Calibri" w:cs="Times New Roman"/>
          <w:i/>
          <w:iCs/>
          <w:sz w:val="22"/>
          <w:szCs w:val="22"/>
        </w:rPr>
        <w:t>Floatec</w:t>
      </w:r>
      <w:proofErr w:type="spellEnd"/>
      <w:r w:rsidR="003C2F77">
        <w:rPr>
          <w:rFonts w:ascii="Calibri" w:eastAsia="Calibri" w:hAnsi="Calibri" w:cs="Times New Roman"/>
          <w:i/>
          <w:iCs/>
          <w:sz w:val="22"/>
          <w:szCs w:val="22"/>
        </w:rPr>
        <w:t>,</w:t>
      </w:r>
      <w:r w:rsidRPr="002C1760">
        <w:rPr>
          <w:rFonts w:ascii="Calibri" w:eastAsia="Calibri" w:hAnsi="Calibri" w:cs="Times New Roman"/>
          <w:i/>
          <w:iCs/>
          <w:sz w:val="22"/>
          <w:szCs w:val="22"/>
        </w:rPr>
        <w:t xml:space="preserve"> LLC d/b/a </w:t>
      </w:r>
      <w:proofErr w:type="spellStart"/>
      <w:r w:rsidRPr="002C1760">
        <w:rPr>
          <w:rFonts w:ascii="Calibri" w:eastAsia="Calibri" w:hAnsi="Calibri" w:cs="Times New Roman"/>
          <w:i/>
          <w:iCs/>
          <w:sz w:val="22"/>
          <w:szCs w:val="22"/>
        </w:rPr>
        <w:t>Floatec</w:t>
      </w:r>
      <w:proofErr w:type="spellEnd"/>
      <w:r w:rsidRPr="002C1760">
        <w:rPr>
          <w:rFonts w:ascii="Calibri" w:eastAsia="Calibri" w:hAnsi="Calibri" w:cs="Times New Roman"/>
          <w:i/>
          <w:iCs/>
          <w:sz w:val="22"/>
          <w:szCs w:val="22"/>
        </w:rPr>
        <w:t xml:space="preserve"> Soluti</w:t>
      </w:r>
      <w:r w:rsidR="000E698E">
        <w:rPr>
          <w:rFonts w:ascii="Calibri" w:eastAsia="Calibri" w:hAnsi="Calibri" w:cs="Times New Roman"/>
          <w:i/>
          <w:iCs/>
          <w:sz w:val="22"/>
          <w:szCs w:val="22"/>
        </w:rPr>
        <w:t>ons</w:t>
      </w:r>
      <w:r w:rsidRPr="002C1760">
        <w:rPr>
          <w:rFonts w:ascii="Calibri" w:eastAsia="Calibri" w:hAnsi="Calibri" w:cs="Times New Roman"/>
          <w:i/>
          <w:iCs/>
          <w:sz w:val="22"/>
          <w:szCs w:val="22"/>
        </w:rPr>
        <w:t xml:space="preserve">, LLC, </w:t>
      </w:r>
      <w:r w:rsidR="000E698E">
        <w:rPr>
          <w:rFonts w:ascii="Calibri" w:eastAsia="Calibri" w:hAnsi="Calibri" w:cs="Times New Roman"/>
          <w:sz w:val="22"/>
          <w:szCs w:val="22"/>
        </w:rPr>
        <w:t>2019 WL 149667 (5</w:t>
      </w:r>
      <w:r w:rsidR="000E698E" w:rsidRPr="00602DED">
        <w:rPr>
          <w:rFonts w:ascii="Calibri" w:eastAsia="Calibri" w:hAnsi="Calibri" w:cs="Times New Roman"/>
          <w:sz w:val="22"/>
          <w:szCs w:val="22"/>
          <w:vertAlign w:val="superscript"/>
        </w:rPr>
        <w:t>th</w:t>
      </w:r>
      <w:r w:rsidR="000E698E">
        <w:rPr>
          <w:rFonts w:ascii="Calibri" w:eastAsia="Calibri" w:hAnsi="Calibri" w:cs="Times New Roman"/>
          <w:sz w:val="22"/>
          <w:szCs w:val="22"/>
        </w:rPr>
        <w:t xml:space="preserve"> Cir. 2019).</w:t>
      </w:r>
      <w:r w:rsidRPr="002C1760">
        <w:rPr>
          <w:rFonts w:ascii="Calibri" w:eastAsia="Calibri" w:hAnsi="Calibri" w:cs="Times New Roman"/>
          <w:sz w:val="22"/>
          <w:szCs w:val="22"/>
        </w:rPr>
        <w:t xml:space="preserve"> </w:t>
      </w:r>
    </w:p>
    <w:p w14:paraId="6F082823" w14:textId="77777777" w:rsidR="002C1760" w:rsidRPr="002C1760" w:rsidRDefault="002C1760" w:rsidP="00BA2F54">
      <w:pPr>
        <w:autoSpaceDE/>
        <w:autoSpaceDN/>
        <w:adjustRightInd/>
        <w:spacing w:before="120" w:after="120"/>
        <w:jc w:val="both"/>
        <w:rPr>
          <w:rFonts w:ascii="Calibri" w:eastAsia="Calibri" w:hAnsi="Calibri" w:cs="Times New Roman"/>
          <w:sz w:val="22"/>
          <w:szCs w:val="22"/>
        </w:rPr>
      </w:pPr>
      <w:r w:rsidRPr="002C1760">
        <w:rPr>
          <w:rFonts w:ascii="Calibri" w:eastAsia="Calibri" w:hAnsi="Calibri" w:cs="Times New Roman"/>
          <w:sz w:val="22"/>
          <w:szCs w:val="22"/>
        </w:rPr>
        <w:t xml:space="preserve">Unless stated otherwise in the policy, a customer who borrows an auto from the insured auto agency is not an “insured” and the insurer is entitled to recover for damage to the auto from the customer. </w:t>
      </w:r>
      <w:r w:rsidRPr="002C1760">
        <w:rPr>
          <w:rFonts w:ascii="Calibri" w:eastAsia="Calibri" w:hAnsi="Calibri" w:cs="Times New Roman"/>
          <w:i/>
          <w:iCs/>
          <w:sz w:val="22"/>
          <w:szCs w:val="22"/>
        </w:rPr>
        <w:t>Cont’l Cas. Co. v. Oken</w:t>
      </w:r>
      <w:r>
        <w:rPr>
          <w:rFonts w:ascii="Calibri" w:eastAsia="Calibri" w:hAnsi="Calibri" w:cs="Times New Roman"/>
          <w:sz w:val="22"/>
          <w:szCs w:val="22"/>
        </w:rPr>
        <w:t>, 229 So.</w:t>
      </w:r>
      <w:r w:rsidRPr="002C1760">
        <w:rPr>
          <w:rFonts w:ascii="Calibri" w:eastAsia="Calibri" w:hAnsi="Calibri" w:cs="Times New Roman"/>
          <w:sz w:val="22"/>
          <w:szCs w:val="22"/>
        </w:rPr>
        <w:t xml:space="preserve">2d 393 (La. Ct. App. 1969). An insurer cannot seek recovery from an omnibus insured for amounts paid under its policy. </w:t>
      </w:r>
      <w:r w:rsidRPr="002C1760">
        <w:rPr>
          <w:rFonts w:ascii="Calibri" w:eastAsia="Calibri" w:hAnsi="Calibri" w:cs="Times New Roman"/>
          <w:i/>
          <w:iCs/>
          <w:sz w:val="22"/>
          <w:szCs w:val="22"/>
        </w:rPr>
        <w:t>Shelter Mut. Ins. Co. v. State Farm Mut. Auto. Ins. Co</w:t>
      </w:r>
      <w:r w:rsidRPr="002C1760">
        <w:rPr>
          <w:rFonts w:ascii="Calibri" w:eastAsia="Calibri" w:hAnsi="Calibri" w:cs="Times New Roman"/>
          <w:sz w:val="22"/>
          <w:szCs w:val="22"/>
        </w:rPr>
        <w:t>., 993 So.2d 23 (La. Ct. App. 2008). Insurer did not lose its homeowner</w:t>
      </w:r>
      <w:r>
        <w:rPr>
          <w:rFonts w:ascii="Calibri" w:eastAsia="Calibri" w:hAnsi="Calibri" w:cs="Times New Roman"/>
          <w:sz w:val="22"/>
          <w:szCs w:val="22"/>
        </w:rPr>
        <w:t>’s</w:t>
      </w:r>
      <w:r w:rsidRPr="002C1760">
        <w:rPr>
          <w:rFonts w:ascii="Calibri" w:eastAsia="Calibri" w:hAnsi="Calibri" w:cs="Times New Roman"/>
          <w:sz w:val="22"/>
          <w:szCs w:val="22"/>
        </w:rPr>
        <w:t xml:space="preserve"> policy contractual right of subrogation by reason of the fact that it was also the comprehensive general liability insurer of the tortfeasor; after the insurer had made payment under the homeowner policy, its qualities as creditor and debtor of the liability obligation merged and, to the extent of the payment made, the obligation was extinguished by confusion. </w:t>
      </w:r>
      <w:r w:rsidRPr="002C1760">
        <w:rPr>
          <w:rFonts w:ascii="Calibri" w:eastAsia="Calibri" w:hAnsi="Calibri" w:cs="Times New Roman"/>
          <w:i/>
          <w:iCs/>
          <w:sz w:val="22"/>
          <w:szCs w:val="22"/>
        </w:rPr>
        <w:t>Norris v. Allstate Ins. Co.</w:t>
      </w:r>
      <w:r w:rsidRPr="002C1760">
        <w:rPr>
          <w:rFonts w:ascii="Calibri" w:eastAsia="Calibri" w:hAnsi="Calibri" w:cs="Times New Roman"/>
          <w:sz w:val="22"/>
          <w:szCs w:val="22"/>
        </w:rPr>
        <w:t>, 293 So.2d 918 (La. Ct. App. 1974).</w:t>
      </w:r>
    </w:p>
    <w:p w14:paraId="26F8A74D" w14:textId="77777777" w:rsidR="002C1760" w:rsidRPr="002C1760" w:rsidRDefault="002C1760" w:rsidP="00BA2F54">
      <w:pPr>
        <w:autoSpaceDE/>
        <w:autoSpaceDN/>
        <w:adjustRightInd/>
        <w:spacing w:before="120" w:after="120"/>
        <w:jc w:val="both"/>
        <w:rPr>
          <w:rFonts w:ascii="Calibri" w:eastAsia="Calibri" w:hAnsi="Calibri" w:cs="Times New Roman"/>
          <w:sz w:val="22"/>
          <w:szCs w:val="22"/>
        </w:rPr>
      </w:pPr>
      <w:r w:rsidRPr="002C1760">
        <w:rPr>
          <w:rFonts w:ascii="Calibri" w:eastAsia="Calibri" w:hAnsi="Calibri" w:cs="Times New Roman"/>
          <w:sz w:val="22"/>
          <w:szCs w:val="22"/>
        </w:rPr>
        <w:t xml:space="preserve">In </w:t>
      </w:r>
      <w:r w:rsidRPr="002C1760">
        <w:rPr>
          <w:rFonts w:ascii="Calibri" w:eastAsia="Calibri" w:hAnsi="Calibri" w:cs="Times New Roman"/>
          <w:i/>
          <w:iCs/>
          <w:sz w:val="22"/>
          <w:szCs w:val="22"/>
        </w:rPr>
        <w:t>Cont’l Cas. Co. v. Oken</w:t>
      </w:r>
      <w:r w:rsidRPr="002C1760">
        <w:rPr>
          <w:rFonts w:ascii="Calibri" w:eastAsia="Calibri" w:hAnsi="Calibri" w:cs="Times New Roman"/>
          <w:sz w:val="22"/>
          <w:szCs w:val="22"/>
        </w:rPr>
        <w:t>, Oken borrowed a car from an auto agency that was insured by Continental Casualty Company (Continental) and soon after he crashed the car. Oken claimed that Continental could not subrogate against him because he was an insured under the policy Continental had issued to the auto agency. The court ruled that there was no indication from the policy language that the policy was meant to apply to Oken and, therefore, subrogation was permissible.</w:t>
      </w:r>
    </w:p>
    <w:p w14:paraId="14237CB1" w14:textId="31CADAD0" w:rsidR="00440477" w:rsidRDefault="002C1760" w:rsidP="00440477">
      <w:pPr>
        <w:spacing w:before="120" w:after="120"/>
        <w:jc w:val="both"/>
        <w:rPr>
          <w:rFonts w:ascii="Calibri" w:eastAsia="Calibri" w:hAnsi="Calibri" w:cs="Times New Roman"/>
          <w:sz w:val="22"/>
          <w:szCs w:val="22"/>
        </w:rPr>
      </w:pPr>
      <w:r w:rsidRPr="002C1760">
        <w:rPr>
          <w:rFonts w:ascii="Calibri" w:eastAsia="Calibri" w:hAnsi="Calibri" w:cs="Times New Roman"/>
          <w:sz w:val="22"/>
          <w:szCs w:val="22"/>
        </w:rPr>
        <w:t>The Louisiana ASR does not bar any action by an insurer against a co</w:t>
      </w:r>
      <w:r>
        <w:rPr>
          <w:rFonts w:ascii="Calibri" w:eastAsia="Calibri" w:hAnsi="Calibri" w:cs="Times New Roman"/>
          <w:sz w:val="22"/>
          <w:szCs w:val="22"/>
        </w:rPr>
        <w:t xml:space="preserve">-insured, it only bars subrogated </w:t>
      </w:r>
      <w:r w:rsidRPr="002C1760">
        <w:rPr>
          <w:rFonts w:ascii="Calibri" w:eastAsia="Calibri" w:hAnsi="Calibri" w:cs="Times New Roman"/>
          <w:sz w:val="22"/>
          <w:szCs w:val="22"/>
        </w:rPr>
        <w:t>claims. T</w:t>
      </w:r>
      <w:r>
        <w:rPr>
          <w:rFonts w:ascii="Calibri" w:eastAsia="Calibri" w:hAnsi="Calibri" w:cs="Times New Roman"/>
          <w:sz w:val="22"/>
          <w:szCs w:val="22"/>
        </w:rPr>
        <w:t xml:space="preserve">here is a distinction between a </w:t>
      </w:r>
      <w:r w:rsidRPr="002C1760">
        <w:rPr>
          <w:rFonts w:ascii="Calibri" w:eastAsia="Calibri" w:hAnsi="Calibri" w:cs="Times New Roman"/>
          <w:sz w:val="22"/>
          <w:szCs w:val="22"/>
        </w:rPr>
        <w:t>subrogated claim—prohibited under the ASR—and a freestanding claim that exists “outside the policy.”</w:t>
      </w:r>
      <w:r>
        <w:rPr>
          <w:rFonts w:ascii="Calibri" w:eastAsia="Calibri" w:hAnsi="Calibri" w:cs="Times New Roman"/>
          <w:sz w:val="22"/>
          <w:szCs w:val="22"/>
        </w:rPr>
        <w:t xml:space="preserve"> </w:t>
      </w:r>
      <w:r w:rsidRPr="002C1760">
        <w:rPr>
          <w:rFonts w:ascii="Calibri" w:eastAsia="Calibri" w:hAnsi="Calibri" w:cs="Times New Roman"/>
          <w:i/>
          <w:iCs/>
          <w:sz w:val="22"/>
          <w:szCs w:val="22"/>
        </w:rPr>
        <w:t>Peavey Co. v. M/V ANPA</w:t>
      </w:r>
      <w:r w:rsidRPr="002C1760">
        <w:rPr>
          <w:rFonts w:ascii="Calibri" w:eastAsia="Calibri" w:hAnsi="Calibri" w:cs="Times New Roman"/>
          <w:sz w:val="22"/>
          <w:szCs w:val="22"/>
        </w:rPr>
        <w:t>, 971 F.2d 1168 (5</w:t>
      </w:r>
      <w:r w:rsidRPr="00BA2F54">
        <w:rPr>
          <w:rFonts w:ascii="Calibri" w:eastAsia="Calibri" w:hAnsi="Calibri" w:cs="Times New Roman"/>
          <w:sz w:val="22"/>
          <w:szCs w:val="22"/>
          <w:vertAlign w:val="superscript"/>
        </w:rPr>
        <w:t>th</w:t>
      </w:r>
      <w:r>
        <w:rPr>
          <w:rFonts w:ascii="Calibri" w:eastAsia="Calibri" w:hAnsi="Calibri" w:cs="Times New Roman"/>
          <w:sz w:val="22"/>
          <w:szCs w:val="22"/>
        </w:rPr>
        <w:t xml:space="preserve"> </w:t>
      </w:r>
      <w:r w:rsidRPr="002C1760">
        <w:rPr>
          <w:rFonts w:ascii="Calibri" w:eastAsia="Calibri" w:hAnsi="Calibri" w:cs="Times New Roman"/>
          <w:sz w:val="22"/>
          <w:szCs w:val="22"/>
        </w:rPr>
        <w:t>Cir. 1992);</w:t>
      </w:r>
      <w:r>
        <w:rPr>
          <w:rFonts w:ascii="Calibri" w:eastAsia="Calibri" w:hAnsi="Calibri" w:cs="Times New Roman"/>
          <w:sz w:val="22"/>
          <w:szCs w:val="22"/>
        </w:rPr>
        <w:t xml:space="preserve"> </w:t>
      </w:r>
      <w:r w:rsidRPr="002C1760">
        <w:rPr>
          <w:rFonts w:ascii="Calibri" w:eastAsia="Calibri" w:hAnsi="Calibri" w:cs="Times New Roman"/>
          <w:i/>
          <w:iCs/>
          <w:sz w:val="22"/>
          <w:szCs w:val="22"/>
        </w:rPr>
        <w:t>United States v. St. Bernard Par.</w:t>
      </w:r>
      <w:r w:rsidRPr="002C1760">
        <w:rPr>
          <w:rFonts w:ascii="Calibri" w:eastAsia="Calibri" w:hAnsi="Calibri" w:cs="Times New Roman"/>
          <w:sz w:val="22"/>
          <w:szCs w:val="22"/>
        </w:rPr>
        <w:t>, 756 F.2d 1116, 1127 (5</w:t>
      </w:r>
      <w:r w:rsidRPr="00BA2F54">
        <w:rPr>
          <w:rFonts w:ascii="Calibri" w:eastAsia="Calibri" w:hAnsi="Calibri" w:cs="Times New Roman"/>
          <w:sz w:val="22"/>
          <w:szCs w:val="22"/>
          <w:vertAlign w:val="superscript"/>
        </w:rPr>
        <w:t>th</w:t>
      </w:r>
      <w:r>
        <w:rPr>
          <w:rFonts w:ascii="Calibri" w:eastAsia="Calibri" w:hAnsi="Calibri" w:cs="Times New Roman"/>
          <w:sz w:val="22"/>
          <w:szCs w:val="22"/>
        </w:rPr>
        <w:t xml:space="preserve"> </w:t>
      </w:r>
      <w:r w:rsidRPr="002C1760">
        <w:rPr>
          <w:rFonts w:ascii="Calibri" w:eastAsia="Calibri" w:hAnsi="Calibri" w:cs="Times New Roman"/>
          <w:sz w:val="22"/>
          <w:szCs w:val="22"/>
        </w:rPr>
        <w:t>Cir. 1985).</w:t>
      </w:r>
      <w:r w:rsidR="00440477">
        <w:rPr>
          <w:rFonts w:ascii="Calibri" w:eastAsia="Calibri" w:hAnsi="Calibri" w:cs="Times New Roman"/>
          <w:sz w:val="22"/>
          <w:szCs w:val="22"/>
        </w:rPr>
        <w:t xml:space="preserve"> The</w:t>
      </w:r>
      <w:r w:rsidR="00440477" w:rsidRPr="00440477">
        <w:rPr>
          <w:rFonts w:ascii="Calibri" w:eastAsia="Calibri" w:hAnsi="Calibri" w:cs="Times New Roman"/>
          <w:sz w:val="22"/>
          <w:szCs w:val="22"/>
        </w:rPr>
        <w:t xml:space="preserve"> court in </w:t>
      </w:r>
      <w:r w:rsidR="00440477" w:rsidRPr="00440477">
        <w:rPr>
          <w:rFonts w:ascii="Calibri" w:eastAsia="Calibri" w:hAnsi="Calibri" w:cs="Times New Roman"/>
          <w:i/>
          <w:iCs/>
          <w:sz w:val="22"/>
          <w:szCs w:val="22"/>
        </w:rPr>
        <w:t>Norris v. Allstate Insurance Co</w:t>
      </w:r>
      <w:r w:rsidR="00440477" w:rsidRPr="00440477">
        <w:rPr>
          <w:rFonts w:ascii="Calibri" w:eastAsia="Calibri" w:hAnsi="Calibri" w:cs="Times New Roman"/>
          <w:sz w:val="22"/>
          <w:szCs w:val="22"/>
        </w:rPr>
        <w:t xml:space="preserve">., 293 So.2d 918 (La.App.1974) allowed the insurance carrier to subrogate against </w:t>
      </w:r>
      <w:r w:rsidR="00440477">
        <w:rPr>
          <w:rFonts w:ascii="Calibri" w:eastAsia="Calibri" w:hAnsi="Calibri" w:cs="Times New Roman"/>
          <w:sz w:val="22"/>
          <w:szCs w:val="22"/>
        </w:rPr>
        <w:t xml:space="preserve">a </w:t>
      </w:r>
      <w:r w:rsidR="00440477" w:rsidRPr="00440477">
        <w:rPr>
          <w:rFonts w:ascii="Calibri" w:eastAsia="Calibri" w:hAnsi="Calibri" w:cs="Times New Roman"/>
          <w:sz w:val="22"/>
          <w:szCs w:val="22"/>
        </w:rPr>
        <w:t xml:space="preserve">tortfeasor, insured under a separate policy. </w:t>
      </w:r>
    </w:p>
    <w:p w14:paraId="07EBE2E0" w14:textId="1A02AC9B" w:rsidR="00AD612F" w:rsidRPr="00440477" w:rsidRDefault="00AD612F" w:rsidP="00440477">
      <w:pPr>
        <w:spacing w:before="120" w:after="120"/>
        <w:jc w:val="both"/>
        <w:rPr>
          <w:rFonts w:ascii="Calibri" w:eastAsia="Calibri" w:hAnsi="Calibri" w:cs="Times New Roman"/>
          <w:sz w:val="22"/>
          <w:szCs w:val="22"/>
        </w:rPr>
      </w:pPr>
      <w:r w:rsidRPr="00AD612F">
        <w:rPr>
          <w:rFonts w:ascii="Calibri" w:eastAsia="Calibri" w:hAnsi="Calibri" w:cs="Times New Roman"/>
          <w:sz w:val="22"/>
          <w:szCs w:val="22"/>
        </w:rPr>
        <w:t xml:space="preserve">In Louisiana, the ASR applies only to true subrogation claims—i.e., claims in which the insurer attempts to “stand in the shoes” of its insured. The rule does not bar an insurer’s independent cause of action against its insured that arises outside of subrogation. In </w:t>
      </w:r>
      <w:r w:rsidRPr="00AD612F">
        <w:rPr>
          <w:rFonts w:ascii="Calibri" w:eastAsia="Calibri" w:hAnsi="Calibri" w:cs="Times New Roman"/>
          <w:i/>
          <w:iCs/>
          <w:sz w:val="22"/>
          <w:szCs w:val="22"/>
        </w:rPr>
        <w:t>Lewis v. State National Insurance Co.</w:t>
      </w:r>
      <w:r w:rsidRPr="00AD612F">
        <w:rPr>
          <w:rFonts w:ascii="Calibri" w:eastAsia="Calibri" w:hAnsi="Calibri" w:cs="Times New Roman"/>
          <w:sz w:val="22"/>
          <w:szCs w:val="22"/>
        </w:rPr>
        <w:t xml:space="preserve">, 430 So.3d 1162 (La. App. 2025), a commercial automobile insurer settled the injured claimant’s claims after an accident involving the insured’s employee, who was operating a company vehicle despite being listed as an excluded driver under the insured’s policy. The insurer then asserted a cross-claim/third-party demand against its insured and the employee, alleging that the insured violated the policy and Louisiana law by allowing the excluded driver to operate a company vehicle and by failing to procure separate insurance for him. The insured argued that the anti-subrogation rule barred the insurer’s claim because an insurer cannot sue its own insured. The court rejected that argument, holding that the insurer was not asserting a subrogation claim and was not attempting to stand in the shoes of its insured. Instead, the insurer was asserting its own independent claim challenging the applicability of coverage based on the insured’s alleged failure to procure separate insurance for an excluded driver. The ASR therefore did not apply. The court nevertheless affirmed a directed verdict against the insurer on its detrimental reliance claim because, although the named-driver exclusion constituted a promise by the insured that the excluded driver would not operate a company vehicle, the insurer failed to present evidence that it justifiably relied on that promise. </w:t>
      </w:r>
      <w:r w:rsidRPr="00AD612F">
        <w:rPr>
          <w:rFonts w:ascii="Calibri" w:eastAsia="Calibri" w:hAnsi="Calibri" w:cs="Times New Roman"/>
          <w:i/>
          <w:iCs/>
          <w:sz w:val="22"/>
          <w:szCs w:val="22"/>
        </w:rPr>
        <w:t>Lewis v. State National Insurance Co.</w:t>
      </w:r>
      <w:r w:rsidRPr="00AD612F">
        <w:rPr>
          <w:rFonts w:ascii="Calibri" w:eastAsia="Calibri" w:hAnsi="Calibri" w:cs="Times New Roman"/>
          <w:sz w:val="22"/>
          <w:szCs w:val="22"/>
        </w:rPr>
        <w:t>, 430 So.3d 1162 (La. App. 4 Cir. 2025); La. C.C. art. 1825; La. R.S. 32:900(B)(2)(d).</w:t>
      </w:r>
    </w:p>
    <w:p w14:paraId="52498C65" w14:textId="77777777" w:rsidR="001F60A4" w:rsidRPr="008F013B" w:rsidRDefault="00935406" w:rsidP="00CB270E">
      <w:pPr>
        <w:spacing w:before="240" w:after="120"/>
        <w:jc w:val="both"/>
        <w:rPr>
          <w:rFonts w:ascii="Calibri" w:hAnsi="Calibri"/>
          <w:color w:val="0F243E"/>
          <w:sz w:val="24"/>
          <w:szCs w:val="24"/>
        </w:rPr>
      </w:pPr>
      <w:r w:rsidRPr="008F013B">
        <w:rPr>
          <w:rFonts w:ascii="Calibri" w:hAnsi="Calibri"/>
          <w:b/>
          <w:color w:val="0F243E"/>
          <w:sz w:val="24"/>
          <w:szCs w:val="24"/>
          <w:u w:val="single"/>
        </w:rPr>
        <w:t>MAINE</w:t>
      </w:r>
    </w:p>
    <w:p w14:paraId="6A9BEA83" w14:textId="77777777" w:rsidR="005417A8" w:rsidRPr="00CB270E" w:rsidRDefault="005417A8" w:rsidP="00696E3D">
      <w:pPr>
        <w:spacing w:before="120" w:after="120"/>
        <w:jc w:val="both"/>
        <w:rPr>
          <w:rFonts w:ascii="Calibri" w:hAnsi="Calibri"/>
          <w:sz w:val="22"/>
          <w:szCs w:val="22"/>
        </w:rPr>
      </w:pPr>
      <w:r w:rsidRPr="00CB270E">
        <w:rPr>
          <w:rFonts w:ascii="Calibri" w:hAnsi="Calibri"/>
          <w:sz w:val="22"/>
          <w:szCs w:val="22"/>
        </w:rPr>
        <w:t xml:space="preserve">An insurance company cannot subrogate against its own insured. </w:t>
      </w:r>
      <w:r w:rsidRPr="00CB270E">
        <w:rPr>
          <w:rFonts w:ascii="Calibri" w:hAnsi="Calibri"/>
          <w:i/>
          <w:sz w:val="22"/>
          <w:szCs w:val="22"/>
        </w:rPr>
        <w:t>Willis Realty Assoc. v. Cimino Constr</w:t>
      </w:r>
      <w:r w:rsidR="00CB270E" w:rsidRPr="00CB270E">
        <w:rPr>
          <w:rFonts w:ascii="Calibri" w:hAnsi="Calibri"/>
          <w:i/>
          <w:sz w:val="22"/>
          <w:szCs w:val="22"/>
        </w:rPr>
        <w:t>.</w:t>
      </w:r>
      <w:r w:rsidRPr="00CB270E">
        <w:rPr>
          <w:rFonts w:ascii="Calibri" w:hAnsi="Calibri"/>
          <w:i/>
          <w:sz w:val="22"/>
          <w:szCs w:val="22"/>
        </w:rPr>
        <w:t xml:space="preserve"> Co.,</w:t>
      </w:r>
      <w:r w:rsidRPr="00CB270E">
        <w:rPr>
          <w:rFonts w:ascii="Calibri" w:hAnsi="Calibri"/>
          <w:sz w:val="22"/>
          <w:szCs w:val="22"/>
        </w:rPr>
        <w:t xml:space="preserve"> 623 A.2d 1287 (Me. 1993). If a party is covered by the liability portion of a policy</w:t>
      </w:r>
      <w:r w:rsidR="00CB270E" w:rsidRPr="00CB270E">
        <w:rPr>
          <w:rFonts w:ascii="Calibri" w:hAnsi="Calibri"/>
          <w:sz w:val="22"/>
          <w:szCs w:val="22"/>
        </w:rPr>
        <w:t>,</w:t>
      </w:r>
      <w:r w:rsidRPr="00CB270E">
        <w:rPr>
          <w:rFonts w:ascii="Calibri" w:hAnsi="Calibri"/>
          <w:sz w:val="22"/>
          <w:szCs w:val="22"/>
        </w:rPr>
        <w:t xml:space="preserve"> but not the property damage portion, subrogation can proceed against the party for damages related to the property damage portion. </w:t>
      </w:r>
      <w:r w:rsidRPr="00CB270E">
        <w:rPr>
          <w:rFonts w:ascii="Calibri" w:hAnsi="Calibri"/>
          <w:i/>
          <w:sz w:val="22"/>
          <w:szCs w:val="22"/>
        </w:rPr>
        <w:t xml:space="preserve">Philadelphia </w:t>
      </w:r>
      <w:proofErr w:type="spellStart"/>
      <w:r w:rsidRPr="00CB270E">
        <w:rPr>
          <w:rFonts w:ascii="Calibri" w:hAnsi="Calibri"/>
          <w:i/>
          <w:sz w:val="22"/>
          <w:szCs w:val="22"/>
        </w:rPr>
        <w:t>Indem</w:t>
      </w:r>
      <w:proofErr w:type="spellEnd"/>
      <w:r w:rsidRPr="00CB270E">
        <w:rPr>
          <w:rFonts w:ascii="Calibri" w:hAnsi="Calibri"/>
          <w:i/>
          <w:sz w:val="22"/>
          <w:szCs w:val="22"/>
        </w:rPr>
        <w:t>. Ins. Co. v. Farrington</w:t>
      </w:r>
      <w:r w:rsidR="001445C5">
        <w:rPr>
          <w:rFonts w:ascii="Calibri" w:hAnsi="Calibri"/>
          <w:sz w:val="22"/>
          <w:szCs w:val="22"/>
        </w:rPr>
        <w:t>, 37 A.3d 305 (Me. 2012) (c</w:t>
      </w:r>
      <w:r w:rsidRPr="00CB270E">
        <w:rPr>
          <w:rFonts w:ascii="Calibri" w:hAnsi="Calibri"/>
          <w:sz w:val="22"/>
          <w:szCs w:val="22"/>
        </w:rPr>
        <w:t>ourt ruled subrogation against renter of rental ca</w:t>
      </w:r>
      <w:r w:rsidR="001445C5">
        <w:rPr>
          <w:rFonts w:ascii="Calibri" w:hAnsi="Calibri"/>
          <w:sz w:val="22"/>
          <w:szCs w:val="22"/>
        </w:rPr>
        <w:t>r could proceed after the c</w:t>
      </w:r>
      <w:r w:rsidRPr="00CB270E">
        <w:rPr>
          <w:rFonts w:ascii="Calibri" w:hAnsi="Calibri"/>
          <w:sz w:val="22"/>
          <w:szCs w:val="22"/>
        </w:rPr>
        <w:t xml:space="preserve">ourt determined </w:t>
      </w:r>
      <w:r w:rsidR="00CB270E" w:rsidRPr="00CB270E">
        <w:rPr>
          <w:rFonts w:ascii="Calibri" w:hAnsi="Calibri"/>
          <w:sz w:val="22"/>
          <w:szCs w:val="22"/>
        </w:rPr>
        <w:t xml:space="preserve">the </w:t>
      </w:r>
      <w:r w:rsidRPr="00CB270E">
        <w:rPr>
          <w:rFonts w:ascii="Calibri" w:hAnsi="Calibri"/>
          <w:sz w:val="22"/>
          <w:szCs w:val="22"/>
        </w:rPr>
        <w:t xml:space="preserve">renter was an insured under the liability portion of the policy, </w:t>
      </w:r>
      <w:r w:rsidR="00B44EC4" w:rsidRPr="00CB270E">
        <w:rPr>
          <w:rFonts w:ascii="Calibri" w:hAnsi="Calibri"/>
          <w:sz w:val="22"/>
          <w:szCs w:val="22"/>
        </w:rPr>
        <w:t xml:space="preserve">but </w:t>
      </w:r>
      <w:r w:rsidRPr="00CB270E">
        <w:rPr>
          <w:rFonts w:ascii="Calibri" w:hAnsi="Calibri"/>
          <w:sz w:val="22"/>
          <w:szCs w:val="22"/>
        </w:rPr>
        <w:t>not the property damage portion)</w:t>
      </w:r>
      <w:r w:rsidR="001445C5">
        <w:rPr>
          <w:rFonts w:ascii="Calibri" w:hAnsi="Calibri"/>
          <w:sz w:val="22"/>
          <w:szCs w:val="22"/>
        </w:rPr>
        <w:t>.</w:t>
      </w:r>
    </w:p>
    <w:p w14:paraId="7A808C09" w14:textId="77777777" w:rsidR="005417A8" w:rsidRPr="008F013B" w:rsidRDefault="00935406" w:rsidP="00CB270E">
      <w:pPr>
        <w:spacing w:before="240" w:after="120"/>
        <w:jc w:val="both"/>
        <w:rPr>
          <w:rFonts w:ascii="Calibri" w:hAnsi="Calibri"/>
          <w:b/>
          <w:color w:val="0F243E"/>
          <w:sz w:val="24"/>
          <w:szCs w:val="24"/>
        </w:rPr>
      </w:pPr>
      <w:r w:rsidRPr="008F013B">
        <w:rPr>
          <w:rFonts w:ascii="Calibri" w:hAnsi="Calibri"/>
          <w:b/>
          <w:color w:val="0F243E"/>
          <w:sz w:val="24"/>
          <w:szCs w:val="24"/>
          <w:u w:val="single"/>
        </w:rPr>
        <w:t>MARYLAND</w:t>
      </w:r>
    </w:p>
    <w:p w14:paraId="30893D6A" w14:textId="417EA7C5" w:rsidR="00935406" w:rsidRPr="00CB270E" w:rsidRDefault="00432F36" w:rsidP="00696E3D">
      <w:pPr>
        <w:spacing w:before="120" w:after="120"/>
        <w:jc w:val="both"/>
        <w:rPr>
          <w:rFonts w:ascii="Calibri" w:hAnsi="Calibri"/>
          <w:b/>
          <w:sz w:val="22"/>
          <w:szCs w:val="22"/>
        </w:rPr>
      </w:pPr>
      <w:r w:rsidRPr="00CB270E">
        <w:rPr>
          <w:rFonts w:ascii="Calibri" w:hAnsi="Calibri"/>
          <w:sz w:val="22"/>
          <w:szCs w:val="22"/>
        </w:rPr>
        <w:t>Maryland courts recognize, as a legal principle, that an insurer may not recover from its insured, or a co-insured, as subrogee.</w:t>
      </w:r>
      <w:r w:rsidRPr="00CB270E">
        <w:rPr>
          <w:rFonts w:ascii="Calibri" w:hAnsi="Calibri"/>
          <w:i/>
          <w:iCs/>
          <w:sz w:val="22"/>
          <w:szCs w:val="22"/>
        </w:rPr>
        <w:t xml:space="preserve"> Rausch v. Allstate Ins. Co.</w:t>
      </w:r>
      <w:r w:rsidR="005417A8" w:rsidRPr="00CB270E">
        <w:rPr>
          <w:rFonts w:ascii="Calibri" w:hAnsi="Calibri"/>
          <w:sz w:val="22"/>
          <w:szCs w:val="22"/>
        </w:rPr>
        <w:t xml:space="preserve">, 882 A.2d 801 </w:t>
      </w:r>
      <w:r w:rsidRPr="00CB270E">
        <w:rPr>
          <w:rFonts w:ascii="Calibri" w:hAnsi="Calibri"/>
          <w:sz w:val="22"/>
          <w:szCs w:val="22"/>
        </w:rPr>
        <w:t>(Md. 2005)</w:t>
      </w:r>
      <w:r w:rsidR="00682DE6">
        <w:rPr>
          <w:rStyle w:val="apple-converted-space"/>
          <w:rFonts w:ascii="Calibri" w:hAnsi="Calibri"/>
          <w:sz w:val="22"/>
          <w:szCs w:val="22"/>
        </w:rPr>
        <w:t>.</w:t>
      </w:r>
    </w:p>
    <w:p w14:paraId="1C05E6FF" w14:textId="77777777" w:rsidR="006318A0" w:rsidRPr="008F013B" w:rsidRDefault="00935406" w:rsidP="0058744C">
      <w:pPr>
        <w:keepNext/>
        <w:spacing w:before="240" w:after="120"/>
        <w:jc w:val="both"/>
        <w:rPr>
          <w:rFonts w:ascii="Calibri" w:hAnsi="Calibri"/>
          <w:b/>
          <w:color w:val="0F243E"/>
          <w:sz w:val="24"/>
          <w:szCs w:val="24"/>
        </w:rPr>
      </w:pPr>
      <w:r w:rsidRPr="008F013B">
        <w:rPr>
          <w:rFonts w:ascii="Calibri" w:hAnsi="Calibri"/>
          <w:b/>
          <w:color w:val="0F243E"/>
          <w:sz w:val="24"/>
          <w:szCs w:val="24"/>
          <w:u w:val="single"/>
        </w:rPr>
        <w:t>MASSACHUSETTS</w:t>
      </w:r>
    </w:p>
    <w:p w14:paraId="476B9FCB" w14:textId="102A8537" w:rsidR="00682DE6" w:rsidRDefault="006503DC" w:rsidP="00682DE6">
      <w:pPr>
        <w:spacing w:before="120" w:after="120"/>
        <w:jc w:val="both"/>
        <w:rPr>
          <w:rFonts w:ascii="Calibri" w:hAnsi="Calibri"/>
          <w:sz w:val="22"/>
          <w:szCs w:val="22"/>
        </w:rPr>
      </w:pPr>
      <w:r w:rsidRPr="00CB270E">
        <w:rPr>
          <w:rFonts w:ascii="Calibri" w:hAnsi="Calibri"/>
          <w:sz w:val="22"/>
          <w:szCs w:val="22"/>
        </w:rPr>
        <w:t xml:space="preserve">An insurer cannot subrogate against its own insured. </w:t>
      </w:r>
      <w:r w:rsidRPr="00CB270E">
        <w:rPr>
          <w:rFonts w:ascii="Calibri" w:hAnsi="Calibri"/>
          <w:i/>
          <w:sz w:val="22"/>
          <w:szCs w:val="22"/>
        </w:rPr>
        <w:t>Peterson v. Silva</w:t>
      </w:r>
      <w:r w:rsidRPr="00CB270E">
        <w:rPr>
          <w:rFonts w:ascii="Calibri" w:hAnsi="Calibri"/>
          <w:sz w:val="22"/>
          <w:szCs w:val="22"/>
        </w:rPr>
        <w:t xml:space="preserve">, 704 N.E.2d 1163 (Mass. 1999). Being a co-insured under the liability portion of a policy does not inherently make a party a co-insured under the property damage portion of a policy. </w:t>
      </w:r>
      <w:r w:rsidRPr="00CB270E">
        <w:rPr>
          <w:rFonts w:ascii="Calibri" w:hAnsi="Calibri"/>
          <w:i/>
          <w:sz w:val="22"/>
          <w:szCs w:val="22"/>
        </w:rPr>
        <w:t>Commerce Ins. Co. v. Empire Fire &amp; Marine Ins. Co</w:t>
      </w:r>
      <w:r w:rsidRPr="00CB270E">
        <w:rPr>
          <w:rFonts w:ascii="Calibri" w:hAnsi="Calibri"/>
          <w:sz w:val="22"/>
          <w:szCs w:val="22"/>
        </w:rPr>
        <w:t>., 879 N.E.2d 1272 (Mass.</w:t>
      </w:r>
      <w:r w:rsidR="0048049E" w:rsidRPr="00CB270E">
        <w:rPr>
          <w:rFonts w:ascii="Calibri" w:hAnsi="Calibri"/>
          <w:sz w:val="22"/>
          <w:szCs w:val="22"/>
        </w:rPr>
        <w:t xml:space="preserve"> </w:t>
      </w:r>
      <w:r w:rsidR="00CB270E" w:rsidRPr="00CB270E">
        <w:rPr>
          <w:rFonts w:ascii="Calibri" w:hAnsi="Calibri"/>
          <w:sz w:val="22"/>
          <w:szCs w:val="22"/>
        </w:rPr>
        <w:t>App. 2008)</w:t>
      </w:r>
      <w:r w:rsidR="00682DE6">
        <w:rPr>
          <w:rFonts w:ascii="Calibri" w:hAnsi="Calibri"/>
          <w:sz w:val="22"/>
          <w:szCs w:val="22"/>
        </w:rPr>
        <w:t xml:space="preserve">; </w:t>
      </w:r>
      <w:r w:rsidR="00682DE6" w:rsidRPr="00682DE6">
        <w:rPr>
          <w:rFonts w:ascii="Calibri" w:hAnsi="Calibri"/>
          <w:i/>
          <w:iCs/>
          <w:sz w:val="22"/>
          <w:szCs w:val="22"/>
        </w:rPr>
        <w:t>HDI-Gerling America Ins</w:t>
      </w:r>
      <w:r w:rsidR="006263CA">
        <w:rPr>
          <w:rFonts w:ascii="Calibri" w:hAnsi="Calibri"/>
          <w:i/>
          <w:iCs/>
          <w:sz w:val="22"/>
          <w:szCs w:val="22"/>
        </w:rPr>
        <w:t>.</w:t>
      </w:r>
      <w:r w:rsidR="00682DE6" w:rsidRPr="00682DE6">
        <w:rPr>
          <w:rFonts w:ascii="Calibri" w:hAnsi="Calibri"/>
          <w:i/>
          <w:iCs/>
          <w:sz w:val="22"/>
          <w:szCs w:val="22"/>
        </w:rPr>
        <w:t xml:space="preserve"> Co. v. Navigators Ins</w:t>
      </w:r>
      <w:r w:rsidR="006263CA">
        <w:rPr>
          <w:rFonts w:ascii="Calibri" w:hAnsi="Calibri"/>
          <w:i/>
          <w:iCs/>
          <w:sz w:val="22"/>
          <w:szCs w:val="22"/>
        </w:rPr>
        <w:t>.</w:t>
      </w:r>
      <w:r w:rsidR="00682DE6" w:rsidRPr="00682DE6">
        <w:rPr>
          <w:rFonts w:ascii="Calibri" w:hAnsi="Calibri"/>
          <w:i/>
          <w:iCs/>
          <w:sz w:val="22"/>
          <w:szCs w:val="22"/>
        </w:rPr>
        <w:t xml:space="preserve"> Co</w:t>
      </w:r>
      <w:r w:rsidR="00682DE6" w:rsidRPr="00682DE6">
        <w:rPr>
          <w:rFonts w:ascii="Calibri" w:hAnsi="Calibri"/>
          <w:sz w:val="22"/>
          <w:szCs w:val="22"/>
        </w:rPr>
        <w:t>., 199 F. Supp.3d 422 (D. Mass. 2016).</w:t>
      </w:r>
    </w:p>
    <w:p w14:paraId="297B9629" w14:textId="0552F2C9" w:rsidR="006503DC" w:rsidRPr="00CB270E" w:rsidRDefault="00682DE6" w:rsidP="00696E3D">
      <w:pPr>
        <w:spacing w:before="120" w:after="120"/>
        <w:jc w:val="both"/>
        <w:rPr>
          <w:rFonts w:ascii="Calibri" w:hAnsi="Calibri"/>
          <w:b/>
          <w:sz w:val="22"/>
          <w:szCs w:val="22"/>
        </w:rPr>
      </w:pPr>
      <w:r>
        <w:rPr>
          <w:rFonts w:ascii="Calibri" w:hAnsi="Calibri"/>
          <w:sz w:val="22"/>
          <w:szCs w:val="22"/>
        </w:rPr>
        <w:t xml:space="preserve">In </w:t>
      </w:r>
      <w:r w:rsidRPr="006263CA">
        <w:rPr>
          <w:rFonts w:ascii="Calibri" w:hAnsi="Calibri"/>
          <w:i/>
          <w:iCs/>
          <w:sz w:val="22"/>
          <w:szCs w:val="22"/>
        </w:rPr>
        <w:t>Factory Mutual Ins</w:t>
      </w:r>
      <w:r w:rsidR="006263CA">
        <w:rPr>
          <w:rFonts w:ascii="Calibri" w:hAnsi="Calibri"/>
          <w:i/>
          <w:iCs/>
          <w:sz w:val="22"/>
          <w:szCs w:val="22"/>
        </w:rPr>
        <w:t>.</w:t>
      </w:r>
      <w:r w:rsidRPr="006263CA">
        <w:rPr>
          <w:rFonts w:ascii="Calibri" w:hAnsi="Calibri"/>
          <w:i/>
          <w:iCs/>
          <w:sz w:val="22"/>
          <w:szCs w:val="22"/>
        </w:rPr>
        <w:t xml:space="preserve"> Co</w:t>
      </w:r>
      <w:r w:rsidR="006263CA">
        <w:rPr>
          <w:rFonts w:ascii="Calibri" w:hAnsi="Calibri"/>
          <w:i/>
          <w:iCs/>
          <w:sz w:val="22"/>
          <w:szCs w:val="22"/>
        </w:rPr>
        <w:t>.</w:t>
      </w:r>
      <w:r w:rsidRPr="006263CA">
        <w:rPr>
          <w:rFonts w:ascii="Calibri" w:hAnsi="Calibri"/>
          <w:i/>
          <w:iCs/>
          <w:sz w:val="22"/>
          <w:szCs w:val="22"/>
        </w:rPr>
        <w:t xml:space="preserve"> v. Skanska USA Building, Inc.,</w:t>
      </w:r>
      <w:r w:rsidRPr="00682DE6">
        <w:rPr>
          <w:rFonts w:ascii="Calibri" w:hAnsi="Calibri"/>
          <w:sz w:val="22"/>
          <w:szCs w:val="22"/>
        </w:rPr>
        <w:t xml:space="preserve"> 2020 WL 2838860 (D.</w:t>
      </w:r>
      <w:r>
        <w:rPr>
          <w:rFonts w:ascii="Calibri" w:hAnsi="Calibri"/>
          <w:sz w:val="22"/>
          <w:szCs w:val="22"/>
        </w:rPr>
        <w:t xml:space="preserve"> </w:t>
      </w:r>
      <w:r w:rsidRPr="00682DE6">
        <w:rPr>
          <w:rFonts w:ascii="Calibri" w:hAnsi="Calibri"/>
          <w:sz w:val="22"/>
          <w:szCs w:val="22"/>
        </w:rPr>
        <w:t>Mass. 2020)</w:t>
      </w:r>
      <w:r>
        <w:rPr>
          <w:rFonts w:ascii="Calibri" w:hAnsi="Calibri"/>
          <w:sz w:val="22"/>
          <w:szCs w:val="22"/>
        </w:rPr>
        <w:t xml:space="preserve">, </w:t>
      </w:r>
      <w:r w:rsidRPr="00682DE6">
        <w:rPr>
          <w:rFonts w:ascii="Calibri" w:hAnsi="Calibri"/>
          <w:sz w:val="22"/>
          <w:szCs w:val="22"/>
        </w:rPr>
        <w:t xml:space="preserve">Factory Mutual issued an insurance policy to Novartis Corporation to provide coverage during a construction project. When </w:t>
      </w:r>
      <w:r>
        <w:rPr>
          <w:rFonts w:ascii="Calibri" w:hAnsi="Calibri"/>
          <w:sz w:val="22"/>
          <w:szCs w:val="22"/>
        </w:rPr>
        <w:t xml:space="preserve">a </w:t>
      </w:r>
      <w:r w:rsidRPr="00682DE6">
        <w:rPr>
          <w:rFonts w:ascii="Calibri" w:hAnsi="Calibri"/>
          <w:sz w:val="22"/>
          <w:szCs w:val="22"/>
        </w:rPr>
        <w:t xml:space="preserve">loss </w:t>
      </w:r>
      <w:r>
        <w:rPr>
          <w:rFonts w:ascii="Calibri" w:hAnsi="Calibri"/>
          <w:sz w:val="22"/>
          <w:szCs w:val="22"/>
        </w:rPr>
        <w:t xml:space="preserve">occurred, </w:t>
      </w:r>
      <w:r w:rsidRPr="00682DE6">
        <w:rPr>
          <w:rFonts w:ascii="Calibri" w:hAnsi="Calibri"/>
          <w:sz w:val="22"/>
          <w:szCs w:val="22"/>
        </w:rPr>
        <w:t xml:space="preserve">Factory Mutual paid on Novartis’ claim and then brought </w:t>
      </w:r>
      <w:r>
        <w:rPr>
          <w:rFonts w:ascii="Calibri" w:hAnsi="Calibri"/>
          <w:sz w:val="22"/>
          <w:szCs w:val="22"/>
        </w:rPr>
        <w:t>a</w:t>
      </w:r>
      <w:r w:rsidR="006263CA">
        <w:rPr>
          <w:rFonts w:ascii="Calibri" w:hAnsi="Calibri"/>
          <w:sz w:val="22"/>
          <w:szCs w:val="22"/>
        </w:rPr>
        <w:t xml:space="preserve"> </w:t>
      </w:r>
      <w:r w:rsidRPr="00682DE6">
        <w:rPr>
          <w:rFonts w:ascii="Calibri" w:hAnsi="Calibri"/>
          <w:sz w:val="22"/>
          <w:szCs w:val="22"/>
        </w:rPr>
        <w:t>subrogation</w:t>
      </w:r>
      <w:r w:rsidR="006263CA">
        <w:rPr>
          <w:rFonts w:ascii="Calibri" w:hAnsi="Calibri"/>
          <w:sz w:val="22"/>
          <w:szCs w:val="22"/>
        </w:rPr>
        <w:t xml:space="preserve"> </w:t>
      </w:r>
      <w:r w:rsidRPr="00682DE6">
        <w:rPr>
          <w:rFonts w:ascii="Calibri" w:hAnsi="Calibri"/>
          <w:sz w:val="22"/>
          <w:szCs w:val="22"/>
        </w:rPr>
        <w:t>action against project contractor Skanska USA Building, Inc. and a project subcontractor, J.C. Cannistraro, LLC</w:t>
      </w:r>
      <w:r>
        <w:rPr>
          <w:rFonts w:ascii="Calibri" w:hAnsi="Calibri"/>
          <w:sz w:val="22"/>
          <w:szCs w:val="22"/>
        </w:rPr>
        <w:t>.</w:t>
      </w:r>
      <w:r w:rsidRPr="00682DE6">
        <w:rPr>
          <w:rFonts w:ascii="Calibri" w:hAnsi="Calibri"/>
          <w:sz w:val="22"/>
          <w:szCs w:val="22"/>
        </w:rPr>
        <w:t xml:space="preserve"> The defendants move</w:t>
      </w:r>
      <w:r>
        <w:rPr>
          <w:rFonts w:ascii="Calibri" w:hAnsi="Calibri"/>
          <w:sz w:val="22"/>
          <w:szCs w:val="22"/>
        </w:rPr>
        <w:t>d</w:t>
      </w:r>
      <w:r w:rsidRPr="00682DE6">
        <w:rPr>
          <w:rFonts w:ascii="Calibri" w:hAnsi="Calibri"/>
          <w:sz w:val="22"/>
          <w:szCs w:val="22"/>
        </w:rPr>
        <w:t xml:space="preserve"> for summary judgment on the ground that the </w:t>
      </w:r>
      <w:r>
        <w:rPr>
          <w:rFonts w:ascii="Calibri" w:hAnsi="Calibri"/>
          <w:sz w:val="22"/>
          <w:szCs w:val="22"/>
        </w:rPr>
        <w:t>ASR barred</w:t>
      </w:r>
      <w:r w:rsidRPr="00682DE6">
        <w:rPr>
          <w:rFonts w:ascii="Calibri" w:hAnsi="Calibri"/>
          <w:sz w:val="22"/>
          <w:szCs w:val="22"/>
        </w:rPr>
        <w:t xml:space="preserve"> the plaintiff’s suit against them because they too are insureds under Factory Mutual’s policy. </w:t>
      </w:r>
      <w:r>
        <w:rPr>
          <w:rFonts w:ascii="Calibri" w:hAnsi="Calibri"/>
          <w:sz w:val="22"/>
          <w:szCs w:val="22"/>
        </w:rPr>
        <w:t xml:space="preserve">The policy named only Novartis as an insured, but the defendants argued that the “property damage” provision of the policy also insured the interest of contractors and subcontractors during construction “to the extent of the insured’s legal liability for insured physical loss or damage to such property”, and “limited to the property for which they have been hired to perform work.” The court held that </w:t>
      </w:r>
      <w:r w:rsidRPr="00682DE6">
        <w:rPr>
          <w:rFonts w:ascii="Calibri" w:hAnsi="Calibri"/>
          <w:sz w:val="22"/>
          <w:szCs w:val="22"/>
        </w:rPr>
        <w:t xml:space="preserve">neither the </w:t>
      </w:r>
      <w:r w:rsidR="006263CA">
        <w:rPr>
          <w:rFonts w:ascii="Calibri" w:hAnsi="Calibri"/>
          <w:sz w:val="22"/>
          <w:szCs w:val="22"/>
        </w:rPr>
        <w:t>p</w:t>
      </w:r>
      <w:r w:rsidRPr="00682DE6">
        <w:rPr>
          <w:rFonts w:ascii="Calibri" w:hAnsi="Calibri"/>
          <w:sz w:val="22"/>
          <w:szCs w:val="22"/>
        </w:rPr>
        <w:t>olicy nor the record as a whole support</w:t>
      </w:r>
      <w:r>
        <w:rPr>
          <w:rFonts w:ascii="Calibri" w:hAnsi="Calibri"/>
          <w:sz w:val="22"/>
          <w:szCs w:val="22"/>
        </w:rPr>
        <w:t>ed</w:t>
      </w:r>
      <w:r w:rsidRPr="00682DE6">
        <w:rPr>
          <w:rFonts w:ascii="Calibri" w:hAnsi="Calibri"/>
          <w:sz w:val="22"/>
          <w:szCs w:val="22"/>
        </w:rPr>
        <w:t xml:space="preserve"> the assertion that the </w:t>
      </w:r>
      <w:r w:rsidR="006263CA">
        <w:rPr>
          <w:rFonts w:ascii="Calibri" w:hAnsi="Calibri"/>
          <w:sz w:val="22"/>
          <w:szCs w:val="22"/>
        </w:rPr>
        <w:t>p</w:t>
      </w:r>
      <w:r w:rsidRPr="00682DE6">
        <w:rPr>
          <w:rFonts w:ascii="Calibri" w:hAnsi="Calibri"/>
          <w:sz w:val="22"/>
          <w:szCs w:val="22"/>
        </w:rPr>
        <w:t>olicy’s “Property Damage” provision makes the defendants insureds in addition to Novartis.</w:t>
      </w:r>
    </w:p>
    <w:p w14:paraId="053C6E5A" w14:textId="77777777" w:rsidR="00BD0719" w:rsidRPr="008F013B" w:rsidRDefault="00935406" w:rsidP="00CB270E">
      <w:pPr>
        <w:pStyle w:val="Heading3"/>
        <w:shd w:val="clear" w:color="auto" w:fill="FFFFFF"/>
        <w:spacing w:before="240" w:beforeAutospacing="0" w:after="120" w:afterAutospacing="0" w:line="300" w:lineRule="atLeast"/>
        <w:rPr>
          <w:rFonts w:ascii="Calibri" w:hAnsi="Calibri"/>
          <w:color w:val="0F243E"/>
          <w:sz w:val="24"/>
          <w:szCs w:val="24"/>
        </w:rPr>
      </w:pPr>
      <w:r w:rsidRPr="008F013B">
        <w:rPr>
          <w:rFonts w:ascii="Calibri" w:hAnsi="Calibri"/>
          <w:color w:val="0F243E"/>
          <w:sz w:val="24"/>
          <w:szCs w:val="24"/>
          <w:u w:val="single"/>
        </w:rPr>
        <w:t>MICHIGAN</w:t>
      </w:r>
    </w:p>
    <w:p w14:paraId="7A6222CC" w14:textId="77777777" w:rsidR="00BD0719" w:rsidRPr="00CB270E" w:rsidRDefault="00BD0719" w:rsidP="00CB270E">
      <w:pPr>
        <w:spacing w:before="120" w:after="120"/>
        <w:jc w:val="both"/>
        <w:rPr>
          <w:rFonts w:ascii="Calibri" w:hAnsi="Calibri"/>
          <w:sz w:val="22"/>
          <w:szCs w:val="22"/>
        </w:rPr>
      </w:pPr>
      <w:r w:rsidRPr="00CB270E">
        <w:rPr>
          <w:rFonts w:ascii="Calibri" w:hAnsi="Calibri"/>
          <w:sz w:val="22"/>
          <w:szCs w:val="22"/>
        </w:rPr>
        <w:t xml:space="preserve">An insurer cannot recover from its insured for a loss covered by the policy. </w:t>
      </w:r>
      <w:r w:rsidRPr="00CB270E">
        <w:rPr>
          <w:rFonts w:ascii="Calibri" w:hAnsi="Calibri"/>
          <w:i/>
          <w:sz w:val="22"/>
          <w:szCs w:val="22"/>
        </w:rPr>
        <w:t>American Special Risk Ins. Co. v. City of Centerline</w:t>
      </w:r>
      <w:r w:rsidRPr="00CB270E">
        <w:rPr>
          <w:rFonts w:ascii="Calibri" w:hAnsi="Calibri"/>
          <w:sz w:val="22"/>
          <w:szCs w:val="22"/>
        </w:rPr>
        <w:t>, 69 F.</w:t>
      </w:r>
      <w:r w:rsidR="00CB270E" w:rsidRPr="00CB270E">
        <w:rPr>
          <w:rFonts w:ascii="Calibri" w:hAnsi="Calibri"/>
          <w:sz w:val="22"/>
          <w:szCs w:val="22"/>
        </w:rPr>
        <w:t>Supp.2d 944 (E.D. Mich. 1999) (a</w:t>
      </w:r>
      <w:r w:rsidRPr="00CB270E">
        <w:rPr>
          <w:rFonts w:ascii="Calibri" w:hAnsi="Calibri"/>
          <w:sz w:val="22"/>
          <w:szCs w:val="22"/>
        </w:rPr>
        <w:t xml:space="preserve">pplying Michigan Law). A “subrogee cannot sue the subrogor to enforce its subrogation rights.” </w:t>
      </w:r>
      <w:r w:rsidRPr="00CB270E">
        <w:rPr>
          <w:rFonts w:ascii="Calibri" w:hAnsi="Calibri"/>
          <w:i/>
          <w:sz w:val="22"/>
          <w:szCs w:val="22"/>
        </w:rPr>
        <w:t>Attard v. Detroit Edison Co</w:t>
      </w:r>
      <w:r w:rsidRPr="00CB270E">
        <w:rPr>
          <w:rFonts w:ascii="Calibri" w:hAnsi="Calibri"/>
          <w:sz w:val="22"/>
          <w:szCs w:val="22"/>
        </w:rPr>
        <w:t>., 1998</w:t>
      </w:r>
      <w:r w:rsidR="00CB270E" w:rsidRPr="00CB270E">
        <w:rPr>
          <w:rFonts w:ascii="Calibri" w:hAnsi="Calibri"/>
          <w:sz w:val="22"/>
          <w:szCs w:val="22"/>
        </w:rPr>
        <w:t xml:space="preserve"> WL 1988579 (Mich. App. 1998).</w:t>
      </w:r>
    </w:p>
    <w:p w14:paraId="21DDDD7A" w14:textId="77777777" w:rsidR="006318A0" w:rsidRPr="008F013B" w:rsidRDefault="00935406" w:rsidP="001445C5">
      <w:pPr>
        <w:spacing w:before="240" w:after="120"/>
        <w:jc w:val="both"/>
        <w:rPr>
          <w:rFonts w:ascii="Calibri" w:hAnsi="Calibri"/>
          <w:color w:val="0F243E"/>
          <w:sz w:val="24"/>
          <w:szCs w:val="24"/>
        </w:rPr>
      </w:pPr>
      <w:r w:rsidRPr="008F013B">
        <w:rPr>
          <w:rFonts w:ascii="Calibri" w:hAnsi="Calibri"/>
          <w:b/>
          <w:color w:val="0F243E"/>
          <w:sz w:val="24"/>
          <w:szCs w:val="24"/>
          <w:u w:val="single"/>
        </w:rPr>
        <w:t>MINNESOTA</w:t>
      </w:r>
    </w:p>
    <w:p w14:paraId="5786646A" w14:textId="29236E72" w:rsidR="00F46A5D" w:rsidRPr="00DC5E88" w:rsidRDefault="00F46A5D" w:rsidP="00704E6F">
      <w:pPr>
        <w:spacing w:before="120" w:after="120"/>
        <w:jc w:val="both"/>
        <w:rPr>
          <w:rFonts w:ascii="Calibri" w:hAnsi="Calibri"/>
          <w:sz w:val="22"/>
          <w:szCs w:val="22"/>
        </w:rPr>
      </w:pPr>
      <w:r w:rsidRPr="00DC5E88">
        <w:rPr>
          <w:rFonts w:ascii="Calibri" w:hAnsi="Calibri"/>
          <w:sz w:val="22"/>
          <w:szCs w:val="22"/>
        </w:rPr>
        <w:t>Minn. Stat. § 60A.41:</w:t>
      </w:r>
      <w:r w:rsidRPr="00DC5E88">
        <w:rPr>
          <w:rFonts w:ascii="Calibri" w:hAnsi="Calibri"/>
          <w:bCs/>
          <w:sz w:val="22"/>
          <w:szCs w:val="22"/>
        </w:rPr>
        <w:t xml:space="preserve"> “Subrogation Against Insureds Prohibited” deals directly with the ASR. </w:t>
      </w:r>
      <w:r w:rsidRPr="00DC5E88">
        <w:rPr>
          <w:rFonts w:ascii="Calibri" w:hAnsi="Calibri"/>
          <w:sz w:val="22"/>
          <w:szCs w:val="22"/>
        </w:rPr>
        <w:t xml:space="preserve">Minn. Stat. § 60A.41(a) states that </w:t>
      </w:r>
      <w:r w:rsidR="00327E00" w:rsidRPr="00DC5E88">
        <w:rPr>
          <w:rFonts w:ascii="Calibri" w:hAnsi="Calibri"/>
          <w:sz w:val="22"/>
          <w:szCs w:val="22"/>
        </w:rPr>
        <w:t>“</w:t>
      </w:r>
      <w:r w:rsidRPr="00DC5E88">
        <w:rPr>
          <w:rFonts w:ascii="Calibri" w:hAnsi="Calibri"/>
          <w:sz w:val="22"/>
          <w:szCs w:val="22"/>
        </w:rPr>
        <w:t>[a]n insurance company ... may not proceed against its insured in a subrogation action where the loss was caused by the non</w:t>
      </w:r>
      <w:r w:rsidR="00CB270E" w:rsidRPr="00DC5E88">
        <w:rPr>
          <w:rFonts w:ascii="Calibri" w:hAnsi="Calibri"/>
          <w:sz w:val="22"/>
          <w:szCs w:val="22"/>
        </w:rPr>
        <w:t>-</w:t>
      </w:r>
      <w:r w:rsidRPr="00DC5E88">
        <w:rPr>
          <w:rFonts w:ascii="Calibri" w:hAnsi="Calibri"/>
          <w:sz w:val="22"/>
          <w:szCs w:val="22"/>
        </w:rPr>
        <w:t>intentional acts of the insured.</w:t>
      </w:r>
      <w:r w:rsidR="00327E00" w:rsidRPr="00DC5E88">
        <w:rPr>
          <w:rFonts w:ascii="Calibri" w:hAnsi="Calibri"/>
          <w:sz w:val="22"/>
          <w:szCs w:val="22"/>
        </w:rPr>
        <w:t>”</w:t>
      </w:r>
      <w:r w:rsidRPr="00DC5E88">
        <w:rPr>
          <w:rFonts w:ascii="Calibri" w:hAnsi="Calibri"/>
          <w:sz w:val="22"/>
          <w:szCs w:val="22"/>
        </w:rPr>
        <w:t xml:space="preserve"> Minn. Stat. § 60A.41(b) </w:t>
      </w:r>
      <w:r w:rsidRPr="00DC5E88">
        <w:rPr>
          <w:rFonts w:ascii="Calibri" w:hAnsi="Calibri"/>
          <w:bCs/>
          <w:sz w:val="22"/>
          <w:szCs w:val="22"/>
        </w:rPr>
        <w:t>s</w:t>
      </w:r>
      <w:r w:rsidR="00CB270E" w:rsidRPr="00DC5E88">
        <w:rPr>
          <w:rFonts w:ascii="Calibri" w:hAnsi="Calibri"/>
          <w:sz w:val="22"/>
          <w:szCs w:val="22"/>
        </w:rPr>
        <w:t xml:space="preserve">pecifically prohibits an </w:t>
      </w:r>
      <w:r w:rsidRPr="00DC5E88">
        <w:rPr>
          <w:rFonts w:ascii="Calibri" w:hAnsi="Calibri"/>
          <w:bCs/>
          <w:sz w:val="22"/>
          <w:szCs w:val="22"/>
        </w:rPr>
        <w:t>insurance</w:t>
      </w:r>
      <w:r w:rsidR="00CB270E" w:rsidRPr="00DC5E88">
        <w:rPr>
          <w:rFonts w:ascii="Calibri" w:hAnsi="Calibri"/>
          <w:sz w:val="22"/>
          <w:szCs w:val="22"/>
        </w:rPr>
        <w:t xml:space="preserve"> company from </w:t>
      </w:r>
      <w:r w:rsidRPr="00DC5E88">
        <w:rPr>
          <w:rFonts w:ascii="Calibri" w:hAnsi="Calibri"/>
          <w:bCs/>
          <w:sz w:val="22"/>
          <w:szCs w:val="22"/>
        </w:rPr>
        <w:t>subrogating</w:t>
      </w:r>
      <w:r w:rsidR="00CB270E" w:rsidRPr="00DC5E88">
        <w:rPr>
          <w:rFonts w:ascii="Calibri" w:hAnsi="Calibri"/>
          <w:bCs/>
          <w:sz w:val="22"/>
          <w:szCs w:val="22"/>
        </w:rPr>
        <w:t xml:space="preserve"> </w:t>
      </w:r>
      <w:r w:rsidR="00327E00" w:rsidRPr="00DC5E88">
        <w:rPr>
          <w:rFonts w:ascii="Calibri" w:hAnsi="Calibri"/>
          <w:sz w:val="22"/>
          <w:szCs w:val="22"/>
        </w:rPr>
        <w:t>“</w:t>
      </w:r>
      <w:r w:rsidRPr="00DC5E88">
        <w:rPr>
          <w:rFonts w:ascii="Calibri" w:hAnsi="Calibri"/>
          <w:sz w:val="22"/>
          <w:szCs w:val="22"/>
        </w:rPr>
        <w:t>itself to the rights of its</w:t>
      </w:r>
      <w:r w:rsidR="00CB270E" w:rsidRPr="00DC5E88">
        <w:rPr>
          <w:rFonts w:ascii="Calibri" w:hAnsi="Calibri"/>
          <w:sz w:val="22"/>
          <w:szCs w:val="22"/>
        </w:rPr>
        <w:t xml:space="preserve"> </w:t>
      </w:r>
      <w:r w:rsidRPr="00DC5E88">
        <w:rPr>
          <w:rFonts w:ascii="Calibri" w:hAnsi="Calibri"/>
          <w:bCs/>
          <w:sz w:val="22"/>
          <w:szCs w:val="22"/>
        </w:rPr>
        <w:t>insured</w:t>
      </w:r>
      <w:r w:rsidR="00CB270E" w:rsidRPr="00DC5E88">
        <w:rPr>
          <w:rFonts w:ascii="Calibri" w:hAnsi="Calibri"/>
          <w:bCs/>
          <w:sz w:val="22"/>
          <w:szCs w:val="22"/>
        </w:rPr>
        <w:t xml:space="preserve"> </w:t>
      </w:r>
      <w:r w:rsidRPr="00DC5E88">
        <w:rPr>
          <w:rFonts w:ascii="Calibri" w:hAnsi="Calibri"/>
          <w:sz w:val="22"/>
          <w:szCs w:val="22"/>
        </w:rPr>
        <w:t xml:space="preserve">to </w:t>
      </w:r>
      <w:r w:rsidR="00327E00" w:rsidRPr="00DC5E88">
        <w:rPr>
          <w:rFonts w:ascii="Calibri" w:hAnsi="Calibri"/>
          <w:sz w:val="22"/>
          <w:szCs w:val="22"/>
        </w:rPr>
        <w:t>proceed against another person ...</w:t>
      </w:r>
      <w:r w:rsidR="00CB270E" w:rsidRPr="00DC5E88">
        <w:rPr>
          <w:rFonts w:ascii="Calibri" w:hAnsi="Calibri"/>
          <w:sz w:val="22"/>
          <w:szCs w:val="22"/>
        </w:rPr>
        <w:t xml:space="preserve"> </w:t>
      </w:r>
      <w:r w:rsidRPr="00DC5E88">
        <w:rPr>
          <w:rFonts w:ascii="Calibri" w:hAnsi="Calibri"/>
          <w:bCs/>
          <w:sz w:val="22"/>
          <w:szCs w:val="22"/>
        </w:rPr>
        <w:t>insured</w:t>
      </w:r>
      <w:r w:rsidR="00CB270E" w:rsidRPr="00DC5E88">
        <w:rPr>
          <w:rFonts w:ascii="Calibri" w:hAnsi="Calibri"/>
          <w:bCs/>
          <w:sz w:val="22"/>
          <w:szCs w:val="22"/>
        </w:rPr>
        <w:t xml:space="preserve"> </w:t>
      </w:r>
      <w:r w:rsidRPr="00DC5E88">
        <w:rPr>
          <w:rFonts w:ascii="Calibri" w:hAnsi="Calibri"/>
          <w:sz w:val="22"/>
          <w:szCs w:val="22"/>
        </w:rPr>
        <w:t>for the same loss by the same company.</w:t>
      </w:r>
      <w:r w:rsidR="00327E00" w:rsidRPr="00DC5E88">
        <w:rPr>
          <w:rFonts w:ascii="Calibri" w:hAnsi="Calibri"/>
          <w:sz w:val="22"/>
          <w:szCs w:val="22"/>
        </w:rPr>
        <w:t>”</w:t>
      </w:r>
      <w:r w:rsidRPr="00DC5E88">
        <w:rPr>
          <w:rFonts w:ascii="Calibri" w:hAnsi="Calibri"/>
          <w:sz w:val="22"/>
          <w:szCs w:val="22"/>
        </w:rPr>
        <w:t xml:space="preserve"> If a tortfeasor and injured party have separate policies from the same insurer, the insurer does not gain equitable subrogation rights to money the injured party receives from the tortfeasor by paying the injured party for their injuries. </w:t>
      </w:r>
      <w:r w:rsidRPr="00DC5E88">
        <w:rPr>
          <w:rFonts w:ascii="Calibri" w:hAnsi="Calibri"/>
          <w:i/>
          <w:sz w:val="22"/>
          <w:szCs w:val="22"/>
        </w:rPr>
        <w:t>Illinois Farmers</w:t>
      </w:r>
      <w:r w:rsidR="00CB270E" w:rsidRPr="00DC5E88">
        <w:rPr>
          <w:rFonts w:ascii="Calibri" w:hAnsi="Calibri"/>
          <w:i/>
          <w:sz w:val="22"/>
          <w:szCs w:val="22"/>
        </w:rPr>
        <w:t xml:space="preserve"> </w:t>
      </w:r>
      <w:r w:rsidRPr="00DC5E88">
        <w:rPr>
          <w:rFonts w:ascii="Calibri" w:hAnsi="Calibri"/>
          <w:bCs/>
          <w:i/>
          <w:iCs/>
          <w:sz w:val="22"/>
          <w:szCs w:val="22"/>
        </w:rPr>
        <w:t>Ins</w:t>
      </w:r>
      <w:r w:rsidR="00CA3D6D">
        <w:rPr>
          <w:rFonts w:ascii="Calibri" w:hAnsi="Calibri"/>
          <w:bCs/>
          <w:i/>
          <w:iCs/>
          <w:sz w:val="22"/>
          <w:szCs w:val="22"/>
        </w:rPr>
        <w:t>.</w:t>
      </w:r>
      <w:r w:rsidR="00CB270E" w:rsidRPr="00DC5E88">
        <w:rPr>
          <w:rFonts w:ascii="Calibri" w:hAnsi="Calibri"/>
          <w:bCs/>
          <w:i/>
          <w:iCs/>
          <w:sz w:val="22"/>
          <w:szCs w:val="22"/>
        </w:rPr>
        <w:t xml:space="preserve"> </w:t>
      </w:r>
      <w:r w:rsidRPr="00DC5E88">
        <w:rPr>
          <w:rFonts w:ascii="Calibri" w:hAnsi="Calibri"/>
          <w:i/>
          <w:sz w:val="22"/>
          <w:szCs w:val="22"/>
        </w:rPr>
        <w:t xml:space="preserve">Co. v. </w:t>
      </w:r>
      <w:proofErr w:type="spellStart"/>
      <w:r w:rsidRPr="00DC5E88">
        <w:rPr>
          <w:rFonts w:ascii="Calibri" w:hAnsi="Calibri"/>
          <w:i/>
          <w:sz w:val="22"/>
          <w:szCs w:val="22"/>
        </w:rPr>
        <w:t>Schmuckler</w:t>
      </w:r>
      <w:proofErr w:type="spellEnd"/>
      <w:r w:rsidRPr="00DC5E88">
        <w:rPr>
          <w:rFonts w:ascii="Calibri" w:hAnsi="Calibri"/>
          <w:i/>
          <w:sz w:val="22"/>
          <w:szCs w:val="22"/>
        </w:rPr>
        <w:t xml:space="preserve">, </w:t>
      </w:r>
      <w:r w:rsidR="00F25A94" w:rsidRPr="00DC5E88">
        <w:rPr>
          <w:rFonts w:ascii="Calibri" w:hAnsi="Calibri"/>
          <w:sz w:val="22"/>
          <w:szCs w:val="22"/>
        </w:rPr>
        <w:t>603 N.W</w:t>
      </w:r>
      <w:r w:rsidRPr="00DC5E88">
        <w:rPr>
          <w:rFonts w:ascii="Calibri" w:hAnsi="Calibri"/>
          <w:sz w:val="22"/>
          <w:szCs w:val="22"/>
        </w:rPr>
        <w:t>.2d</w:t>
      </w:r>
      <w:r w:rsidR="00F25A94" w:rsidRPr="00DC5E88">
        <w:rPr>
          <w:rFonts w:ascii="Calibri" w:hAnsi="Calibri"/>
          <w:sz w:val="22"/>
          <w:szCs w:val="22"/>
        </w:rPr>
        <w:t>.</w:t>
      </w:r>
      <w:r w:rsidR="00CB270E" w:rsidRPr="00DC5E88">
        <w:rPr>
          <w:rFonts w:ascii="Calibri" w:hAnsi="Calibri"/>
          <w:sz w:val="22"/>
          <w:szCs w:val="22"/>
        </w:rPr>
        <w:t xml:space="preserve"> 138 (Minn. Ct. App. 1999).</w:t>
      </w:r>
      <w:r w:rsidR="00CA3D6D">
        <w:rPr>
          <w:rFonts w:ascii="Calibri" w:hAnsi="Calibri"/>
          <w:sz w:val="22"/>
          <w:szCs w:val="22"/>
        </w:rPr>
        <w:t xml:space="preserve"> </w:t>
      </w:r>
      <w:r w:rsidR="00CB270E" w:rsidRPr="00DC5E88">
        <w:rPr>
          <w:rFonts w:ascii="Calibri" w:hAnsi="Calibri"/>
          <w:sz w:val="22"/>
          <w:szCs w:val="22"/>
        </w:rPr>
        <w:t xml:space="preserve">In </w:t>
      </w:r>
      <w:proofErr w:type="spellStart"/>
      <w:r w:rsidRPr="00DC5E88">
        <w:rPr>
          <w:rFonts w:ascii="Calibri" w:hAnsi="Calibri"/>
          <w:i/>
          <w:sz w:val="22"/>
          <w:szCs w:val="22"/>
        </w:rPr>
        <w:t>Schmuckler</w:t>
      </w:r>
      <w:proofErr w:type="spellEnd"/>
      <w:r w:rsidRPr="00DC5E88">
        <w:rPr>
          <w:rFonts w:ascii="Calibri" w:hAnsi="Calibri"/>
          <w:i/>
          <w:sz w:val="22"/>
          <w:szCs w:val="22"/>
        </w:rPr>
        <w:t xml:space="preserve">, </w:t>
      </w:r>
      <w:proofErr w:type="spellStart"/>
      <w:r w:rsidRPr="00DC5E88">
        <w:rPr>
          <w:rFonts w:ascii="Calibri" w:hAnsi="Calibri"/>
          <w:sz w:val="22"/>
          <w:szCs w:val="22"/>
        </w:rPr>
        <w:t>Schmuckler</w:t>
      </w:r>
      <w:proofErr w:type="spellEnd"/>
      <w:r w:rsidRPr="00DC5E88">
        <w:rPr>
          <w:rFonts w:ascii="Calibri" w:hAnsi="Calibri"/>
          <w:sz w:val="22"/>
          <w:szCs w:val="22"/>
        </w:rPr>
        <w:t xml:space="preserve"> received $31,889.99 from her renter</w:t>
      </w:r>
      <w:r w:rsidR="00DC5E88" w:rsidRPr="00DC5E88">
        <w:rPr>
          <w:rFonts w:ascii="Calibri" w:hAnsi="Calibri"/>
          <w:sz w:val="22"/>
          <w:szCs w:val="22"/>
        </w:rPr>
        <w:t>’</w:t>
      </w:r>
      <w:r w:rsidRPr="00DC5E88">
        <w:rPr>
          <w:rFonts w:ascii="Calibri" w:hAnsi="Calibri"/>
          <w:sz w:val="22"/>
          <w:szCs w:val="22"/>
        </w:rPr>
        <w:t xml:space="preserve">s insurance policy and $32,455 from a subsequent lawsuit against </w:t>
      </w:r>
      <w:proofErr w:type="spellStart"/>
      <w:r w:rsidRPr="00DC5E88">
        <w:rPr>
          <w:rFonts w:ascii="Calibri" w:hAnsi="Calibri"/>
          <w:sz w:val="22"/>
          <w:szCs w:val="22"/>
        </w:rPr>
        <w:t>Creurer</w:t>
      </w:r>
      <w:proofErr w:type="spellEnd"/>
      <w:r w:rsidRPr="00DC5E88">
        <w:rPr>
          <w:rFonts w:ascii="Calibri" w:hAnsi="Calibri"/>
          <w:sz w:val="22"/>
          <w:szCs w:val="22"/>
        </w:rPr>
        <w:t xml:space="preserve"> after </w:t>
      </w:r>
      <w:proofErr w:type="spellStart"/>
      <w:r w:rsidRPr="00DC5E88">
        <w:rPr>
          <w:rFonts w:ascii="Calibri" w:hAnsi="Calibri"/>
          <w:sz w:val="22"/>
          <w:szCs w:val="22"/>
        </w:rPr>
        <w:t>Creurer</w:t>
      </w:r>
      <w:proofErr w:type="spellEnd"/>
      <w:r w:rsidRPr="00DC5E88">
        <w:rPr>
          <w:rFonts w:ascii="Calibri" w:hAnsi="Calibri"/>
          <w:sz w:val="22"/>
          <w:szCs w:val="22"/>
        </w:rPr>
        <w:t xml:space="preserve"> backed her car into </w:t>
      </w:r>
      <w:proofErr w:type="spellStart"/>
      <w:r w:rsidRPr="00DC5E88">
        <w:rPr>
          <w:rFonts w:ascii="Calibri" w:hAnsi="Calibri"/>
          <w:sz w:val="22"/>
          <w:szCs w:val="22"/>
        </w:rPr>
        <w:t>Schmuckler’s</w:t>
      </w:r>
      <w:proofErr w:type="spellEnd"/>
      <w:r w:rsidRPr="00DC5E88">
        <w:rPr>
          <w:rFonts w:ascii="Calibri" w:hAnsi="Calibri"/>
          <w:sz w:val="22"/>
          <w:szCs w:val="22"/>
        </w:rPr>
        <w:t xml:space="preserve"> rented town home. </w:t>
      </w:r>
      <w:proofErr w:type="spellStart"/>
      <w:r w:rsidRPr="00DC5E88">
        <w:rPr>
          <w:rFonts w:ascii="Calibri" w:hAnsi="Calibri"/>
          <w:sz w:val="22"/>
          <w:szCs w:val="22"/>
        </w:rPr>
        <w:t>Schmuckler</w:t>
      </w:r>
      <w:proofErr w:type="spellEnd"/>
      <w:r w:rsidRPr="00DC5E88">
        <w:rPr>
          <w:rFonts w:ascii="Calibri" w:hAnsi="Calibri"/>
          <w:sz w:val="22"/>
          <w:szCs w:val="22"/>
        </w:rPr>
        <w:t xml:space="preserve"> had renter</w:t>
      </w:r>
      <w:r w:rsidR="00DC5E88" w:rsidRPr="00DC5E88">
        <w:rPr>
          <w:rFonts w:ascii="Calibri" w:hAnsi="Calibri"/>
          <w:sz w:val="22"/>
          <w:szCs w:val="22"/>
        </w:rPr>
        <w:t>’</w:t>
      </w:r>
      <w:r w:rsidRPr="00DC5E88">
        <w:rPr>
          <w:rFonts w:ascii="Calibri" w:hAnsi="Calibri"/>
          <w:sz w:val="22"/>
          <w:szCs w:val="22"/>
        </w:rPr>
        <w:t>s insurance with Illinois Farmers Insurance Co. (</w:t>
      </w:r>
      <w:r w:rsidR="006A4B98">
        <w:rPr>
          <w:rFonts w:ascii="Calibri" w:hAnsi="Calibri"/>
          <w:sz w:val="22"/>
          <w:szCs w:val="22"/>
        </w:rPr>
        <w:t>“</w:t>
      </w:r>
      <w:r w:rsidRPr="00DC5E88">
        <w:rPr>
          <w:rFonts w:ascii="Calibri" w:hAnsi="Calibri"/>
          <w:sz w:val="22"/>
          <w:szCs w:val="22"/>
        </w:rPr>
        <w:t>Farmers</w:t>
      </w:r>
      <w:r w:rsidR="006A4B98">
        <w:rPr>
          <w:rFonts w:ascii="Calibri" w:hAnsi="Calibri"/>
          <w:sz w:val="22"/>
          <w:szCs w:val="22"/>
        </w:rPr>
        <w:t>”</w:t>
      </w:r>
      <w:r w:rsidRPr="00DC5E88">
        <w:rPr>
          <w:rFonts w:ascii="Calibri" w:hAnsi="Calibri"/>
          <w:sz w:val="22"/>
          <w:szCs w:val="22"/>
        </w:rPr>
        <w:t xml:space="preserve">) and </w:t>
      </w:r>
      <w:proofErr w:type="spellStart"/>
      <w:r w:rsidRPr="00DC5E88">
        <w:rPr>
          <w:rFonts w:ascii="Calibri" w:hAnsi="Calibri"/>
          <w:sz w:val="22"/>
          <w:szCs w:val="22"/>
        </w:rPr>
        <w:t>Creurer</w:t>
      </w:r>
      <w:proofErr w:type="spellEnd"/>
      <w:r w:rsidRPr="00DC5E88">
        <w:rPr>
          <w:rFonts w:ascii="Calibri" w:hAnsi="Calibri"/>
          <w:sz w:val="22"/>
          <w:szCs w:val="22"/>
        </w:rPr>
        <w:t xml:space="preserve"> had auto insurance through Farmers. The </w:t>
      </w:r>
      <w:r w:rsidR="00DC5E88" w:rsidRPr="00DC5E88">
        <w:rPr>
          <w:rFonts w:ascii="Calibri" w:hAnsi="Calibri"/>
          <w:sz w:val="22"/>
          <w:szCs w:val="22"/>
        </w:rPr>
        <w:t>c</w:t>
      </w:r>
      <w:r w:rsidRPr="00DC5E88">
        <w:rPr>
          <w:rFonts w:ascii="Calibri" w:hAnsi="Calibri"/>
          <w:sz w:val="22"/>
          <w:szCs w:val="22"/>
        </w:rPr>
        <w:t xml:space="preserve">ourt barred Farmer’s equitable subrogation attempt against the money </w:t>
      </w:r>
      <w:proofErr w:type="spellStart"/>
      <w:r w:rsidRPr="00DC5E88">
        <w:rPr>
          <w:rFonts w:ascii="Calibri" w:hAnsi="Calibri"/>
          <w:sz w:val="22"/>
          <w:szCs w:val="22"/>
        </w:rPr>
        <w:t>Schmuckler</w:t>
      </w:r>
      <w:proofErr w:type="spellEnd"/>
      <w:r w:rsidRPr="00DC5E88">
        <w:rPr>
          <w:rFonts w:ascii="Calibri" w:hAnsi="Calibri"/>
          <w:sz w:val="22"/>
          <w:szCs w:val="22"/>
        </w:rPr>
        <w:t xml:space="preserve"> had received from </w:t>
      </w:r>
      <w:proofErr w:type="spellStart"/>
      <w:r w:rsidRPr="00DC5E88">
        <w:rPr>
          <w:rFonts w:ascii="Calibri" w:hAnsi="Calibri"/>
          <w:sz w:val="22"/>
          <w:szCs w:val="22"/>
        </w:rPr>
        <w:t>Creurer</w:t>
      </w:r>
      <w:proofErr w:type="spellEnd"/>
      <w:r w:rsidRPr="00DC5E88">
        <w:rPr>
          <w:rFonts w:ascii="Calibri" w:hAnsi="Calibri"/>
          <w:sz w:val="22"/>
          <w:szCs w:val="22"/>
        </w:rPr>
        <w:t xml:space="preserve"> on the basis that Farmers had failed to acquire subrogation rights to the money because Minn. Stat. § 60A.41(b) bars insurers from subrogating “for the same loss by the same company</w:t>
      </w:r>
      <w:r w:rsidR="00704E6F">
        <w:rPr>
          <w:rFonts w:ascii="Calibri" w:hAnsi="Calibri"/>
          <w:sz w:val="22"/>
          <w:szCs w:val="22"/>
        </w:rPr>
        <w:t>.</w:t>
      </w:r>
      <w:r w:rsidRPr="00DC5E88">
        <w:rPr>
          <w:rFonts w:ascii="Calibri" w:hAnsi="Calibri"/>
          <w:sz w:val="22"/>
          <w:szCs w:val="22"/>
        </w:rPr>
        <w:t>”</w:t>
      </w:r>
      <w:r w:rsidR="00704E6F">
        <w:rPr>
          <w:rFonts w:ascii="Calibri" w:hAnsi="Calibri"/>
          <w:sz w:val="22"/>
          <w:szCs w:val="22"/>
        </w:rPr>
        <w:t xml:space="preserve"> In </w:t>
      </w:r>
      <w:r w:rsidR="00704E6F" w:rsidRPr="00A6631E">
        <w:rPr>
          <w:rFonts w:ascii="Calibri" w:hAnsi="Calibri"/>
          <w:i/>
          <w:sz w:val="22"/>
          <w:szCs w:val="22"/>
        </w:rPr>
        <w:t xml:space="preserve">Depositors Ins. Co. v. </w:t>
      </w:r>
      <w:proofErr w:type="spellStart"/>
      <w:r w:rsidR="00704E6F" w:rsidRPr="00A6631E">
        <w:rPr>
          <w:rFonts w:ascii="Calibri" w:hAnsi="Calibri"/>
          <w:i/>
          <w:sz w:val="22"/>
          <w:szCs w:val="22"/>
        </w:rPr>
        <w:t>Dollansky</w:t>
      </w:r>
      <w:proofErr w:type="spellEnd"/>
      <w:r w:rsidR="00704E6F" w:rsidRPr="00704E6F">
        <w:rPr>
          <w:rFonts w:ascii="Calibri" w:hAnsi="Calibri"/>
          <w:sz w:val="22"/>
          <w:szCs w:val="22"/>
        </w:rPr>
        <w:t>, 2017 WL 6273144 (Minn. App. 2017)</w:t>
      </w:r>
      <w:r w:rsidR="00704E6F">
        <w:rPr>
          <w:rFonts w:ascii="Calibri" w:hAnsi="Calibri"/>
          <w:sz w:val="22"/>
          <w:szCs w:val="22"/>
        </w:rPr>
        <w:t xml:space="preserve">, </w:t>
      </w:r>
      <w:proofErr w:type="spellStart"/>
      <w:r w:rsidR="00704E6F">
        <w:rPr>
          <w:rFonts w:ascii="Calibri" w:hAnsi="Calibri"/>
          <w:sz w:val="22"/>
          <w:szCs w:val="22"/>
        </w:rPr>
        <w:t>Dollansky</w:t>
      </w:r>
      <w:proofErr w:type="spellEnd"/>
      <w:r w:rsidR="00704E6F">
        <w:rPr>
          <w:rFonts w:ascii="Calibri" w:hAnsi="Calibri"/>
          <w:sz w:val="22"/>
          <w:szCs w:val="22"/>
        </w:rPr>
        <w:t xml:space="preserve"> rented a motor home from caravan Trailers, and it started on fire. The agreement said </w:t>
      </w:r>
      <w:proofErr w:type="spellStart"/>
      <w:r w:rsidR="00704E6F">
        <w:rPr>
          <w:rFonts w:ascii="Calibri" w:hAnsi="Calibri"/>
          <w:sz w:val="22"/>
          <w:szCs w:val="22"/>
        </w:rPr>
        <w:t>Dollansky</w:t>
      </w:r>
      <w:proofErr w:type="spellEnd"/>
      <w:r w:rsidR="00704E6F">
        <w:rPr>
          <w:rFonts w:ascii="Calibri" w:hAnsi="Calibri"/>
          <w:sz w:val="22"/>
          <w:szCs w:val="22"/>
        </w:rPr>
        <w:t xml:space="preserve"> was responsible for all </w:t>
      </w:r>
      <w:r w:rsidR="00DE3879">
        <w:rPr>
          <w:rFonts w:ascii="Calibri" w:hAnsi="Calibri"/>
          <w:sz w:val="22"/>
          <w:szCs w:val="22"/>
        </w:rPr>
        <w:t>damage and</w:t>
      </w:r>
      <w:r w:rsidR="00704E6F">
        <w:rPr>
          <w:rFonts w:ascii="Calibri" w:hAnsi="Calibri"/>
          <w:sz w:val="22"/>
          <w:szCs w:val="22"/>
        </w:rPr>
        <w:t xml:space="preserve"> agreed to indemnify </w:t>
      </w:r>
      <w:proofErr w:type="spellStart"/>
      <w:r w:rsidR="00704E6F">
        <w:rPr>
          <w:rFonts w:ascii="Calibri" w:hAnsi="Calibri"/>
          <w:sz w:val="22"/>
          <w:szCs w:val="22"/>
        </w:rPr>
        <w:t>Karavan</w:t>
      </w:r>
      <w:proofErr w:type="spellEnd"/>
      <w:r w:rsidR="00704E6F">
        <w:rPr>
          <w:rFonts w:ascii="Calibri" w:hAnsi="Calibri"/>
          <w:sz w:val="22"/>
          <w:szCs w:val="22"/>
        </w:rPr>
        <w:t xml:space="preserve">. </w:t>
      </w:r>
      <w:proofErr w:type="spellStart"/>
      <w:r w:rsidR="00704E6F">
        <w:rPr>
          <w:rFonts w:ascii="Calibri" w:hAnsi="Calibri"/>
          <w:sz w:val="22"/>
          <w:szCs w:val="22"/>
        </w:rPr>
        <w:t>Karavan’s</w:t>
      </w:r>
      <w:proofErr w:type="spellEnd"/>
      <w:r w:rsidR="00704E6F">
        <w:rPr>
          <w:rFonts w:ascii="Calibri" w:hAnsi="Calibri"/>
          <w:sz w:val="22"/>
          <w:szCs w:val="22"/>
        </w:rPr>
        <w:t xml:space="preserve"> carrier, Depositors Insurance Company, submitted the claim to </w:t>
      </w:r>
      <w:proofErr w:type="spellStart"/>
      <w:r w:rsidR="00704E6F">
        <w:rPr>
          <w:rFonts w:ascii="Calibri" w:hAnsi="Calibri"/>
          <w:sz w:val="22"/>
          <w:szCs w:val="22"/>
        </w:rPr>
        <w:t>Dollansky’s</w:t>
      </w:r>
      <w:proofErr w:type="spellEnd"/>
      <w:r w:rsidR="00704E6F">
        <w:rPr>
          <w:rFonts w:ascii="Calibri" w:hAnsi="Calibri"/>
          <w:sz w:val="22"/>
          <w:szCs w:val="22"/>
        </w:rPr>
        <w:t xml:space="preserve"> carrier, American Family, who paid </w:t>
      </w:r>
      <w:proofErr w:type="spellStart"/>
      <w:r w:rsidR="00704E6F">
        <w:rPr>
          <w:rFonts w:ascii="Calibri" w:hAnsi="Calibri"/>
          <w:sz w:val="22"/>
          <w:szCs w:val="22"/>
        </w:rPr>
        <w:t>Karavan</w:t>
      </w:r>
      <w:proofErr w:type="spellEnd"/>
      <w:r w:rsidR="00704E6F">
        <w:rPr>
          <w:rFonts w:ascii="Calibri" w:hAnsi="Calibri"/>
          <w:sz w:val="22"/>
          <w:szCs w:val="22"/>
        </w:rPr>
        <w:t xml:space="preserve"> part of its deductible</w:t>
      </w:r>
      <w:r w:rsidR="008315C9">
        <w:rPr>
          <w:rFonts w:ascii="Calibri" w:hAnsi="Calibri"/>
          <w:sz w:val="22"/>
          <w:szCs w:val="22"/>
        </w:rPr>
        <w:t>,</w:t>
      </w:r>
      <w:r w:rsidR="00704E6F">
        <w:rPr>
          <w:rFonts w:ascii="Calibri" w:hAnsi="Calibri"/>
          <w:sz w:val="22"/>
          <w:szCs w:val="22"/>
        </w:rPr>
        <w:t xml:space="preserve"> but denied the balance. Depositors paid </w:t>
      </w:r>
      <w:proofErr w:type="spellStart"/>
      <w:r w:rsidR="00704E6F">
        <w:rPr>
          <w:rFonts w:ascii="Calibri" w:hAnsi="Calibri"/>
          <w:sz w:val="22"/>
          <w:szCs w:val="22"/>
        </w:rPr>
        <w:t>Karavan</w:t>
      </w:r>
      <w:proofErr w:type="spellEnd"/>
      <w:r w:rsidR="00704E6F">
        <w:rPr>
          <w:rFonts w:ascii="Calibri" w:hAnsi="Calibri"/>
          <w:sz w:val="22"/>
          <w:szCs w:val="22"/>
        </w:rPr>
        <w:t xml:space="preserve"> $204,895 and sued </w:t>
      </w:r>
      <w:proofErr w:type="spellStart"/>
      <w:r w:rsidR="00704E6F">
        <w:rPr>
          <w:rFonts w:ascii="Calibri" w:hAnsi="Calibri"/>
          <w:sz w:val="22"/>
          <w:szCs w:val="22"/>
        </w:rPr>
        <w:t>Dollansky</w:t>
      </w:r>
      <w:proofErr w:type="spellEnd"/>
      <w:r w:rsidR="00704E6F">
        <w:rPr>
          <w:rFonts w:ascii="Calibri" w:hAnsi="Calibri"/>
          <w:sz w:val="22"/>
          <w:szCs w:val="22"/>
        </w:rPr>
        <w:t xml:space="preserve"> for breach of the rental agreement. The court dismissed the claim because the Depositor’s suit was prohibited by </w:t>
      </w:r>
      <w:r w:rsidR="00704E6F" w:rsidRPr="00704E6F">
        <w:rPr>
          <w:rFonts w:ascii="Calibri" w:hAnsi="Calibri"/>
          <w:sz w:val="22"/>
          <w:szCs w:val="22"/>
        </w:rPr>
        <w:t>§ 60A.41</w:t>
      </w:r>
      <w:r w:rsidR="00704E6F">
        <w:rPr>
          <w:rFonts w:ascii="Calibri" w:hAnsi="Calibri"/>
          <w:sz w:val="22"/>
          <w:szCs w:val="22"/>
        </w:rPr>
        <w:t xml:space="preserve">. Depositors appealed, claiming that </w:t>
      </w:r>
      <w:r w:rsidR="00704E6F" w:rsidRPr="00DC5E88">
        <w:rPr>
          <w:rFonts w:ascii="Calibri" w:hAnsi="Calibri"/>
          <w:sz w:val="22"/>
          <w:szCs w:val="22"/>
        </w:rPr>
        <w:t>§ 60A.41</w:t>
      </w:r>
      <w:r w:rsidR="00704E6F">
        <w:rPr>
          <w:rFonts w:ascii="Calibri" w:hAnsi="Calibri"/>
          <w:sz w:val="22"/>
          <w:szCs w:val="22"/>
        </w:rPr>
        <w:t xml:space="preserve"> only prohibited subrogation suits against the carrier’s own named insured, not somebody who might be an “insured” due to language of the insurance contract (</w:t>
      </w:r>
      <w:r w:rsidR="00704E6F" w:rsidRPr="00A6631E">
        <w:rPr>
          <w:rFonts w:ascii="Calibri" w:hAnsi="Calibri"/>
          <w:i/>
          <w:sz w:val="22"/>
          <w:szCs w:val="22"/>
        </w:rPr>
        <w:t>i.e</w:t>
      </w:r>
      <w:r w:rsidR="00704E6F">
        <w:rPr>
          <w:rFonts w:ascii="Calibri" w:hAnsi="Calibri"/>
          <w:sz w:val="22"/>
          <w:szCs w:val="22"/>
        </w:rPr>
        <w:t xml:space="preserve">., additional insured, etc.). The court held that </w:t>
      </w:r>
      <w:r w:rsidR="00704E6F" w:rsidRPr="00DC5E88">
        <w:rPr>
          <w:rFonts w:ascii="Calibri" w:hAnsi="Calibri"/>
          <w:sz w:val="22"/>
          <w:szCs w:val="22"/>
        </w:rPr>
        <w:t>§ 60A.41</w:t>
      </w:r>
      <w:r w:rsidR="0004497B">
        <w:rPr>
          <w:rFonts w:ascii="Calibri" w:hAnsi="Calibri"/>
          <w:sz w:val="22"/>
          <w:szCs w:val="22"/>
        </w:rPr>
        <w:t xml:space="preserve"> prevented subrogation even if the defendant isn’t a “named insured.” </w:t>
      </w:r>
    </w:p>
    <w:p w14:paraId="59C72134" w14:textId="77777777" w:rsidR="006318A0" w:rsidRPr="008F013B" w:rsidRDefault="00935406" w:rsidP="00DC5E88">
      <w:pPr>
        <w:spacing w:before="240" w:after="120"/>
        <w:jc w:val="both"/>
        <w:rPr>
          <w:rFonts w:ascii="Calibri" w:hAnsi="Calibri"/>
          <w:color w:val="0F243E"/>
          <w:sz w:val="24"/>
          <w:szCs w:val="24"/>
        </w:rPr>
      </w:pPr>
      <w:r w:rsidRPr="008F013B">
        <w:rPr>
          <w:rFonts w:ascii="Calibri" w:hAnsi="Calibri"/>
          <w:b/>
          <w:color w:val="0F243E"/>
          <w:sz w:val="24"/>
          <w:szCs w:val="24"/>
          <w:u w:val="single"/>
        </w:rPr>
        <w:t>MISSISSIPPI</w:t>
      </w:r>
    </w:p>
    <w:p w14:paraId="4751BAE8" w14:textId="77777777" w:rsidR="00E8330A" w:rsidRPr="004C4812" w:rsidRDefault="00E8330A" w:rsidP="00696E3D">
      <w:pPr>
        <w:spacing w:before="120" w:after="120"/>
        <w:jc w:val="both"/>
        <w:rPr>
          <w:rFonts w:ascii="Calibri" w:hAnsi="Calibri"/>
          <w:sz w:val="22"/>
          <w:szCs w:val="22"/>
        </w:rPr>
      </w:pPr>
      <w:r w:rsidRPr="004C4812">
        <w:rPr>
          <w:rFonts w:ascii="Calibri" w:hAnsi="Calibri"/>
          <w:sz w:val="22"/>
          <w:szCs w:val="22"/>
        </w:rPr>
        <w:t xml:space="preserve">An insurer has no right of subrogation against its own insured for a claim arising from the very risk for which the insured was covered. </w:t>
      </w:r>
      <w:r w:rsidRPr="004C4812">
        <w:rPr>
          <w:rFonts w:ascii="Calibri" w:hAnsi="Calibri"/>
          <w:i/>
          <w:sz w:val="22"/>
          <w:szCs w:val="22"/>
        </w:rPr>
        <w:t>Hutson v. State Farm Fir</w:t>
      </w:r>
      <w:r w:rsidR="004C4812" w:rsidRPr="004C4812">
        <w:rPr>
          <w:rFonts w:ascii="Calibri" w:hAnsi="Calibri"/>
          <w:i/>
          <w:sz w:val="22"/>
          <w:szCs w:val="22"/>
        </w:rPr>
        <w:t>e</w:t>
      </w:r>
      <w:r w:rsidRPr="004C4812">
        <w:rPr>
          <w:rFonts w:ascii="Calibri" w:hAnsi="Calibri"/>
          <w:i/>
          <w:sz w:val="22"/>
          <w:szCs w:val="22"/>
        </w:rPr>
        <w:t xml:space="preserve"> &amp; Cas. Co.</w:t>
      </w:r>
      <w:r w:rsidRPr="004C4812">
        <w:rPr>
          <w:rFonts w:ascii="Calibri" w:hAnsi="Calibri"/>
          <w:sz w:val="22"/>
          <w:szCs w:val="22"/>
        </w:rPr>
        <w:t>,</w:t>
      </w:r>
      <w:r w:rsidRPr="004C4812">
        <w:rPr>
          <w:rFonts w:ascii="Calibri" w:hAnsi="Calibri"/>
          <w:i/>
          <w:sz w:val="22"/>
          <w:szCs w:val="22"/>
        </w:rPr>
        <w:t xml:space="preserve"> </w:t>
      </w:r>
      <w:r w:rsidRPr="004C4812">
        <w:rPr>
          <w:rFonts w:ascii="Calibri" w:hAnsi="Calibri"/>
          <w:sz w:val="22"/>
          <w:szCs w:val="22"/>
        </w:rPr>
        <w:t>2007 WL 1121364 (Miss.</w:t>
      </w:r>
      <w:r w:rsidR="00F25A94" w:rsidRPr="004C4812">
        <w:rPr>
          <w:rFonts w:ascii="Calibri" w:hAnsi="Calibri"/>
          <w:sz w:val="22"/>
          <w:szCs w:val="22"/>
        </w:rPr>
        <w:t xml:space="preserve"> </w:t>
      </w:r>
      <w:r w:rsidRPr="004C4812">
        <w:rPr>
          <w:rFonts w:ascii="Calibri" w:hAnsi="Calibri"/>
          <w:sz w:val="22"/>
          <w:szCs w:val="22"/>
        </w:rPr>
        <w:t>Ct.</w:t>
      </w:r>
      <w:r w:rsidR="00F25A94" w:rsidRPr="004C4812">
        <w:rPr>
          <w:rFonts w:ascii="Calibri" w:hAnsi="Calibri"/>
          <w:sz w:val="22"/>
          <w:szCs w:val="22"/>
        </w:rPr>
        <w:t xml:space="preserve"> </w:t>
      </w:r>
      <w:r w:rsidRPr="004C4812">
        <w:rPr>
          <w:rFonts w:ascii="Calibri" w:hAnsi="Calibri"/>
          <w:sz w:val="22"/>
          <w:szCs w:val="22"/>
        </w:rPr>
        <w:t>App.</w:t>
      </w:r>
      <w:r w:rsidR="00F25A94" w:rsidRPr="004C4812">
        <w:rPr>
          <w:rFonts w:ascii="Calibri" w:hAnsi="Calibri"/>
          <w:sz w:val="22"/>
          <w:szCs w:val="22"/>
        </w:rPr>
        <w:t xml:space="preserve"> </w:t>
      </w:r>
      <w:r w:rsidR="00CB06ED">
        <w:rPr>
          <w:rFonts w:ascii="Calibri" w:hAnsi="Calibri"/>
          <w:sz w:val="22"/>
          <w:szCs w:val="22"/>
        </w:rPr>
        <w:t>2007). The Mississippi c</w:t>
      </w:r>
      <w:r w:rsidRPr="004C4812">
        <w:rPr>
          <w:rFonts w:ascii="Calibri" w:hAnsi="Calibri"/>
          <w:sz w:val="22"/>
          <w:szCs w:val="22"/>
        </w:rPr>
        <w:t xml:space="preserve">ourts have recognized one exception where if two parties are insured under the same policy, and one intentionally commits a tort against the other, the tortfeasor is excluded from the policy and subrogation may proceed, while the victim maintains the status of an insured under the policy. </w:t>
      </w:r>
      <w:r w:rsidRPr="004C4812">
        <w:rPr>
          <w:rFonts w:ascii="Calibri" w:hAnsi="Calibri"/>
          <w:i/>
          <w:sz w:val="22"/>
          <w:szCs w:val="22"/>
        </w:rPr>
        <w:t>Id</w:t>
      </w:r>
      <w:r w:rsidRPr="004C4812">
        <w:rPr>
          <w:rFonts w:ascii="Calibri" w:hAnsi="Calibri"/>
          <w:sz w:val="22"/>
          <w:szCs w:val="22"/>
        </w:rPr>
        <w:t>.</w:t>
      </w:r>
      <w:r w:rsidR="00CB06ED">
        <w:rPr>
          <w:rFonts w:ascii="Calibri" w:hAnsi="Calibri"/>
          <w:sz w:val="22"/>
          <w:szCs w:val="22"/>
        </w:rPr>
        <w:t xml:space="preserve"> </w:t>
      </w:r>
      <w:r w:rsidR="004C4812" w:rsidRPr="004C4812">
        <w:rPr>
          <w:rFonts w:ascii="Calibri" w:hAnsi="Calibri"/>
          <w:sz w:val="22"/>
          <w:szCs w:val="22"/>
        </w:rPr>
        <w:t xml:space="preserve">In </w:t>
      </w:r>
      <w:r w:rsidR="008457CB" w:rsidRPr="004C4812">
        <w:rPr>
          <w:rFonts w:ascii="Calibri" w:hAnsi="Calibri"/>
          <w:i/>
          <w:sz w:val="22"/>
          <w:szCs w:val="22"/>
        </w:rPr>
        <w:t>Hutson</w:t>
      </w:r>
      <w:r w:rsidRPr="004C4812">
        <w:rPr>
          <w:rFonts w:ascii="Calibri" w:hAnsi="Calibri"/>
          <w:i/>
          <w:sz w:val="22"/>
          <w:szCs w:val="22"/>
        </w:rPr>
        <w:t>,</w:t>
      </w:r>
      <w:r w:rsidRPr="004C4812">
        <w:rPr>
          <w:rFonts w:ascii="Calibri" w:hAnsi="Calibri"/>
          <w:sz w:val="22"/>
          <w:szCs w:val="22"/>
        </w:rPr>
        <w:t xml:space="preserve"> a homeowner property insurer paid a property claim of a co-insured wife for property damage caused by fire that her co-insured husband admitted</w:t>
      </w:r>
      <w:r w:rsidR="004C4812" w:rsidRPr="004C4812">
        <w:rPr>
          <w:rFonts w:ascii="Calibri" w:hAnsi="Calibri"/>
          <w:sz w:val="22"/>
          <w:szCs w:val="22"/>
        </w:rPr>
        <w:t xml:space="preserve"> to setting intentionally. The C</w:t>
      </w:r>
      <w:r w:rsidRPr="004C4812">
        <w:rPr>
          <w:rFonts w:ascii="Calibri" w:hAnsi="Calibri"/>
          <w:sz w:val="22"/>
          <w:szCs w:val="22"/>
        </w:rPr>
        <w:t xml:space="preserve">ourt of </w:t>
      </w:r>
      <w:r w:rsidR="004C4812" w:rsidRPr="004C4812">
        <w:rPr>
          <w:rFonts w:ascii="Calibri" w:hAnsi="Calibri"/>
          <w:sz w:val="22"/>
          <w:szCs w:val="22"/>
        </w:rPr>
        <w:t>A</w:t>
      </w:r>
      <w:r w:rsidRPr="004C4812">
        <w:rPr>
          <w:rFonts w:ascii="Calibri" w:hAnsi="Calibri"/>
          <w:sz w:val="22"/>
          <w:szCs w:val="22"/>
        </w:rPr>
        <w:t xml:space="preserve">ppeals found that the property insurer was entitled to subrogate against the husband in spite of </w:t>
      </w:r>
      <w:r w:rsidR="004C4812" w:rsidRPr="004C4812">
        <w:rPr>
          <w:rFonts w:ascii="Calibri" w:hAnsi="Calibri"/>
          <w:sz w:val="22"/>
          <w:szCs w:val="22"/>
        </w:rPr>
        <w:t xml:space="preserve">the </w:t>
      </w:r>
      <w:r w:rsidRPr="004C4812">
        <w:rPr>
          <w:rFonts w:ascii="Calibri" w:hAnsi="Calibri"/>
          <w:sz w:val="22"/>
          <w:szCs w:val="22"/>
        </w:rPr>
        <w:t xml:space="preserve">usual </w:t>
      </w:r>
      <w:r w:rsidR="004C4812" w:rsidRPr="004C4812">
        <w:rPr>
          <w:rFonts w:ascii="Calibri" w:hAnsi="Calibri"/>
          <w:sz w:val="22"/>
          <w:szCs w:val="22"/>
        </w:rPr>
        <w:t>ASR</w:t>
      </w:r>
      <w:r w:rsidRPr="004C4812">
        <w:rPr>
          <w:rFonts w:ascii="Calibri" w:hAnsi="Calibri"/>
          <w:sz w:val="22"/>
          <w:szCs w:val="22"/>
        </w:rPr>
        <w:t xml:space="preserve"> in this context. The </w:t>
      </w:r>
      <w:r w:rsidR="004C4812" w:rsidRPr="004C4812">
        <w:rPr>
          <w:rFonts w:ascii="Calibri" w:hAnsi="Calibri"/>
          <w:sz w:val="22"/>
          <w:szCs w:val="22"/>
        </w:rPr>
        <w:t>court found that the husband’</w:t>
      </w:r>
      <w:r w:rsidRPr="004C4812">
        <w:rPr>
          <w:rFonts w:ascii="Calibri" w:hAnsi="Calibri"/>
          <w:sz w:val="22"/>
          <w:szCs w:val="22"/>
        </w:rPr>
        <w:t xml:space="preserve">s intentional act foreclosed any duty the insurer may have had to him, and as such, in the context of the relationship between </w:t>
      </w:r>
      <w:r w:rsidR="004C4812" w:rsidRPr="004C4812">
        <w:rPr>
          <w:rFonts w:ascii="Calibri" w:hAnsi="Calibri"/>
          <w:sz w:val="22"/>
          <w:szCs w:val="22"/>
        </w:rPr>
        <w:t xml:space="preserve">the </w:t>
      </w:r>
      <w:r w:rsidRPr="004C4812">
        <w:rPr>
          <w:rFonts w:ascii="Calibri" w:hAnsi="Calibri"/>
          <w:sz w:val="22"/>
          <w:szCs w:val="22"/>
        </w:rPr>
        <w:t>insurer and</w:t>
      </w:r>
      <w:r w:rsidR="004C4812" w:rsidRPr="004C4812">
        <w:rPr>
          <w:rFonts w:ascii="Calibri" w:hAnsi="Calibri"/>
          <w:sz w:val="22"/>
          <w:szCs w:val="22"/>
        </w:rPr>
        <w:t xml:space="preserve"> the</w:t>
      </w:r>
      <w:r w:rsidRPr="004C4812">
        <w:rPr>
          <w:rFonts w:ascii="Calibri" w:hAnsi="Calibri"/>
          <w:sz w:val="22"/>
          <w:szCs w:val="22"/>
        </w:rPr>
        <w:t xml:space="preserve"> innocent co-insured wife, the husband is treat</w:t>
      </w:r>
      <w:r w:rsidR="004C4812" w:rsidRPr="004C4812">
        <w:rPr>
          <w:rFonts w:ascii="Calibri" w:hAnsi="Calibri"/>
          <w:sz w:val="22"/>
          <w:szCs w:val="22"/>
        </w:rPr>
        <w:t>ed as merely a third-</w:t>
      </w:r>
      <w:r w:rsidRPr="004C4812">
        <w:rPr>
          <w:rFonts w:ascii="Calibri" w:hAnsi="Calibri"/>
          <w:sz w:val="22"/>
          <w:szCs w:val="22"/>
        </w:rPr>
        <w:t>party tortfeasor.</w:t>
      </w:r>
    </w:p>
    <w:p w14:paraId="257C2927" w14:textId="77777777" w:rsidR="001F7E85" w:rsidRPr="008F013B" w:rsidRDefault="00935406" w:rsidP="00A6631E">
      <w:pPr>
        <w:keepNext/>
        <w:spacing w:before="240" w:after="120"/>
        <w:jc w:val="both"/>
        <w:rPr>
          <w:rFonts w:ascii="Calibri" w:hAnsi="Calibri"/>
          <w:color w:val="0F243E"/>
          <w:sz w:val="24"/>
          <w:szCs w:val="24"/>
        </w:rPr>
      </w:pPr>
      <w:r w:rsidRPr="008F013B">
        <w:rPr>
          <w:rFonts w:ascii="Calibri" w:hAnsi="Calibri"/>
          <w:b/>
          <w:color w:val="0F243E"/>
          <w:sz w:val="24"/>
          <w:szCs w:val="24"/>
          <w:u w:val="single"/>
        </w:rPr>
        <w:t>MISSOURI</w:t>
      </w:r>
    </w:p>
    <w:p w14:paraId="274392F6" w14:textId="77777777" w:rsidR="00A71777" w:rsidRPr="004C4812" w:rsidRDefault="00A71777" w:rsidP="00696E3D">
      <w:pPr>
        <w:spacing w:before="120" w:after="120"/>
        <w:jc w:val="both"/>
        <w:rPr>
          <w:rFonts w:ascii="Calibri" w:hAnsi="Calibri"/>
          <w:sz w:val="22"/>
          <w:szCs w:val="22"/>
        </w:rPr>
      </w:pPr>
      <w:r w:rsidRPr="004C4812">
        <w:rPr>
          <w:rFonts w:ascii="Calibri" w:hAnsi="Calibri"/>
          <w:sz w:val="22"/>
          <w:szCs w:val="22"/>
        </w:rPr>
        <w:t xml:space="preserve">In Missouri, the </w:t>
      </w:r>
      <w:r w:rsidR="004C4812" w:rsidRPr="004C4812">
        <w:rPr>
          <w:rFonts w:ascii="Calibri" w:hAnsi="Calibri"/>
          <w:sz w:val="22"/>
          <w:szCs w:val="22"/>
        </w:rPr>
        <w:t>ASR</w:t>
      </w:r>
      <w:r w:rsidRPr="004C4812">
        <w:rPr>
          <w:rFonts w:ascii="Calibri" w:hAnsi="Calibri"/>
          <w:sz w:val="22"/>
          <w:szCs w:val="22"/>
        </w:rPr>
        <w:t xml:space="preserve"> is referred to as the “No </w:t>
      </w:r>
      <w:r w:rsidR="004C4812" w:rsidRPr="004C4812">
        <w:rPr>
          <w:rFonts w:ascii="Calibri" w:hAnsi="Calibri"/>
          <w:sz w:val="22"/>
          <w:szCs w:val="22"/>
        </w:rPr>
        <w:t>Subrogation R</w:t>
      </w:r>
      <w:r w:rsidRPr="004C4812">
        <w:rPr>
          <w:rFonts w:ascii="Calibri" w:hAnsi="Calibri"/>
          <w:sz w:val="22"/>
          <w:szCs w:val="22"/>
        </w:rPr>
        <w:t xml:space="preserve">ule.” An insurer has no right of subrogation against its own insured or co-insured for a claim arising from the very risk for which the insured was covered. </w:t>
      </w:r>
      <w:r w:rsidRPr="004C4812">
        <w:rPr>
          <w:rFonts w:ascii="Calibri" w:hAnsi="Calibri"/>
          <w:i/>
          <w:sz w:val="22"/>
          <w:szCs w:val="22"/>
        </w:rPr>
        <w:t>Benton House, LLC v. Cook &amp; Younts Ins., Inc.</w:t>
      </w:r>
      <w:r w:rsidRPr="004C4812">
        <w:rPr>
          <w:rFonts w:ascii="Calibri" w:hAnsi="Calibri"/>
          <w:sz w:val="22"/>
          <w:szCs w:val="22"/>
        </w:rPr>
        <w:t>, 249 S.W.</w:t>
      </w:r>
      <w:r w:rsidR="00CB06ED">
        <w:rPr>
          <w:rFonts w:ascii="Calibri" w:hAnsi="Calibri"/>
          <w:sz w:val="22"/>
          <w:szCs w:val="22"/>
        </w:rPr>
        <w:t>3d 878 (Mo. Ct. App. 2008) (pre</w:t>
      </w:r>
      <w:r w:rsidRPr="004C4812">
        <w:rPr>
          <w:rFonts w:ascii="Calibri" w:hAnsi="Calibri"/>
          <w:sz w:val="22"/>
          <w:szCs w:val="22"/>
        </w:rPr>
        <w:t xml:space="preserve">empted by FEHBA on other grounds). The ASR prevents subrogation against an insured when the subrogor and target are covered by the same policy. </w:t>
      </w:r>
      <w:r w:rsidRPr="004C4812">
        <w:rPr>
          <w:rFonts w:ascii="Calibri" w:hAnsi="Calibri"/>
          <w:i/>
          <w:sz w:val="22"/>
          <w:szCs w:val="22"/>
        </w:rPr>
        <w:t xml:space="preserve">Factory Ins. </w:t>
      </w:r>
      <w:proofErr w:type="spellStart"/>
      <w:r w:rsidRPr="004C4812">
        <w:rPr>
          <w:rFonts w:ascii="Calibri" w:hAnsi="Calibri"/>
          <w:i/>
          <w:sz w:val="22"/>
          <w:szCs w:val="22"/>
        </w:rPr>
        <w:t>Ass’n</w:t>
      </w:r>
      <w:proofErr w:type="spellEnd"/>
      <w:r w:rsidRPr="004C4812">
        <w:rPr>
          <w:rFonts w:ascii="Calibri" w:hAnsi="Calibri"/>
          <w:i/>
          <w:sz w:val="22"/>
          <w:szCs w:val="22"/>
        </w:rPr>
        <w:t xml:space="preserve"> v. </w:t>
      </w:r>
      <w:proofErr w:type="spellStart"/>
      <w:r w:rsidRPr="004C4812">
        <w:rPr>
          <w:rFonts w:ascii="Calibri" w:hAnsi="Calibri"/>
          <w:i/>
          <w:sz w:val="22"/>
          <w:szCs w:val="22"/>
        </w:rPr>
        <w:t>Donco</w:t>
      </w:r>
      <w:proofErr w:type="spellEnd"/>
      <w:r w:rsidRPr="004C4812">
        <w:rPr>
          <w:rFonts w:ascii="Calibri" w:hAnsi="Calibri"/>
          <w:i/>
          <w:sz w:val="22"/>
          <w:szCs w:val="22"/>
        </w:rPr>
        <w:t xml:space="preserve"> Corp</w:t>
      </w:r>
      <w:r w:rsidRPr="004C4812">
        <w:rPr>
          <w:rFonts w:ascii="Calibri" w:hAnsi="Calibri"/>
          <w:sz w:val="22"/>
          <w:szCs w:val="22"/>
        </w:rPr>
        <w:t>., 496 S.W.2d 331 (Mo. Ct. App. 1972). If a party is covered by the third</w:t>
      </w:r>
      <w:r w:rsidR="004C4812" w:rsidRPr="004C4812">
        <w:rPr>
          <w:rFonts w:ascii="Calibri" w:hAnsi="Calibri"/>
          <w:sz w:val="22"/>
          <w:szCs w:val="22"/>
        </w:rPr>
        <w:t>-</w:t>
      </w:r>
      <w:r w:rsidRPr="004C4812">
        <w:rPr>
          <w:rFonts w:ascii="Calibri" w:hAnsi="Calibri"/>
          <w:sz w:val="22"/>
          <w:szCs w:val="22"/>
        </w:rPr>
        <w:t>party liability portion of a policy</w:t>
      </w:r>
      <w:r w:rsidR="004C4812" w:rsidRPr="004C4812">
        <w:rPr>
          <w:rFonts w:ascii="Calibri" w:hAnsi="Calibri"/>
          <w:sz w:val="22"/>
          <w:szCs w:val="22"/>
        </w:rPr>
        <w:t>,</w:t>
      </w:r>
      <w:r w:rsidRPr="004C4812">
        <w:rPr>
          <w:rFonts w:ascii="Calibri" w:hAnsi="Calibri"/>
          <w:sz w:val="22"/>
          <w:szCs w:val="22"/>
        </w:rPr>
        <w:t xml:space="preserve"> but not the property damage portion of the policy, an insurer can still subrogate for the damages portion of the policy. </w:t>
      </w:r>
      <w:r w:rsidRPr="004C4812">
        <w:rPr>
          <w:rFonts w:ascii="Calibri" w:hAnsi="Calibri"/>
          <w:bCs/>
          <w:i/>
          <w:sz w:val="22"/>
          <w:szCs w:val="22"/>
        </w:rPr>
        <w:t>Behlmann</w:t>
      </w:r>
      <w:r w:rsidR="004C4812" w:rsidRPr="004C4812">
        <w:rPr>
          <w:rFonts w:ascii="Calibri" w:hAnsi="Calibri"/>
          <w:i/>
          <w:sz w:val="22"/>
          <w:szCs w:val="22"/>
        </w:rPr>
        <w:t xml:space="preserve"> </w:t>
      </w:r>
      <w:r w:rsidRPr="004C4812">
        <w:rPr>
          <w:rFonts w:ascii="Calibri" w:hAnsi="Calibri"/>
          <w:bCs/>
          <w:i/>
          <w:sz w:val="22"/>
          <w:szCs w:val="22"/>
        </w:rPr>
        <w:t>Pontiac</w:t>
      </w:r>
      <w:r w:rsidR="004C4812" w:rsidRPr="004C4812">
        <w:rPr>
          <w:rFonts w:ascii="Calibri" w:hAnsi="Calibri"/>
          <w:i/>
          <w:sz w:val="22"/>
          <w:szCs w:val="22"/>
        </w:rPr>
        <w:t xml:space="preserve"> </w:t>
      </w:r>
      <w:r w:rsidRPr="004C4812">
        <w:rPr>
          <w:rFonts w:ascii="Calibri" w:hAnsi="Calibri"/>
          <w:bCs/>
          <w:i/>
          <w:sz w:val="22"/>
          <w:szCs w:val="22"/>
        </w:rPr>
        <w:t>GMC</w:t>
      </w:r>
      <w:r w:rsidR="004C4812" w:rsidRPr="004C4812">
        <w:rPr>
          <w:rFonts w:ascii="Calibri" w:hAnsi="Calibri"/>
          <w:i/>
          <w:sz w:val="22"/>
          <w:szCs w:val="22"/>
        </w:rPr>
        <w:t xml:space="preserve"> </w:t>
      </w:r>
      <w:r w:rsidRPr="004C4812">
        <w:rPr>
          <w:rFonts w:ascii="Calibri" w:hAnsi="Calibri"/>
          <w:bCs/>
          <w:i/>
          <w:sz w:val="22"/>
          <w:szCs w:val="22"/>
        </w:rPr>
        <w:t>Truck</w:t>
      </w:r>
      <w:r w:rsidR="004C4812" w:rsidRPr="004C4812">
        <w:rPr>
          <w:rFonts w:ascii="Calibri" w:hAnsi="Calibri"/>
          <w:i/>
          <w:sz w:val="22"/>
          <w:szCs w:val="22"/>
        </w:rPr>
        <w:t xml:space="preserve">, </w:t>
      </w:r>
      <w:r w:rsidRPr="004C4812">
        <w:rPr>
          <w:rFonts w:ascii="Calibri" w:hAnsi="Calibri"/>
          <w:bCs/>
          <w:i/>
          <w:sz w:val="22"/>
          <w:szCs w:val="22"/>
        </w:rPr>
        <w:t>Inc</w:t>
      </w:r>
      <w:r w:rsidR="004C4812" w:rsidRPr="004C4812">
        <w:rPr>
          <w:rFonts w:ascii="Calibri" w:hAnsi="Calibri"/>
          <w:i/>
          <w:sz w:val="22"/>
          <w:szCs w:val="22"/>
        </w:rPr>
        <w:t xml:space="preserve">. </w:t>
      </w:r>
      <w:r w:rsidRPr="004C4812">
        <w:rPr>
          <w:rFonts w:ascii="Calibri" w:hAnsi="Calibri"/>
          <w:bCs/>
          <w:i/>
          <w:sz w:val="22"/>
          <w:szCs w:val="22"/>
        </w:rPr>
        <w:t>v</w:t>
      </w:r>
      <w:r w:rsidR="004C4812" w:rsidRPr="004C4812">
        <w:rPr>
          <w:rFonts w:ascii="Calibri" w:hAnsi="Calibri"/>
          <w:i/>
          <w:sz w:val="22"/>
          <w:szCs w:val="22"/>
        </w:rPr>
        <w:t xml:space="preserve">. </w:t>
      </w:r>
      <w:r w:rsidRPr="004C4812">
        <w:rPr>
          <w:rFonts w:ascii="Calibri" w:hAnsi="Calibri"/>
          <w:bCs/>
          <w:i/>
          <w:sz w:val="22"/>
          <w:szCs w:val="22"/>
        </w:rPr>
        <w:t>Harbin</w:t>
      </w:r>
      <w:r w:rsidRPr="004C4812">
        <w:rPr>
          <w:rFonts w:ascii="Calibri" w:hAnsi="Calibri"/>
          <w:i/>
          <w:sz w:val="22"/>
          <w:szCs w:val="22"/>
        </w:rPr>
        <w:t>,</w:t>
      </w:r>
      <w:r w:rsidR="004C4812" w:rsidRPr="004C4812">
        <w:rPr>
          <w:rFonts w:ascii="Calibri" w:hAnsi="Calibri"/>
          <w:sz w:val="22"/>
          <w:szCs w:val="22"/>
        </w:rPr>
        <w:t xml:space="preserve"> </w:t>
      </w:r>
      <w:r w:rsidRPr="004C4812">
        <w:rPr>
          <w:rFonts w:ascii="Calibri" w:hAnsi="Calibri"/>
          <w:bCs/>
          <w:sz w:val="22"/>
          <w:szCs w:val="22"/>
        </w:rPr>
        <w:t>6</w:t>
      </w:r>
      <w:r w:rsidR="004C4812" w:rsidRPr="004C4812">
        <w:rPr>
          <w:rFonts w:ascii="Calibri" w:hAnsi="Calibri"/>
          <w:sz w:val="22"/>
          <w:szCs w:val="22"/>
        </w:rPr>
        <w:t xml:space="preserve"> </w:t>
      </w:r>
      <w:r w:rsidRPr="004C4812">
        <w:rPr>
          <w:rFonts w:ascii="Calibri" w:hAnsi="Calibri"/>
          <w:bCs/>
          <w:sz w:val="22"/>
          <w:szCs w:val="22"/>
        </w:rPr>
        <w:t>S.W</w:t>
      </w:r>
      <w:r w:rsidRPr="004C4812">
        <w:rPr>
          <w:rFonts w:ascii="Calibri" w:hAnsi="Calibri"/>
          <w:sz w:val="22"/>
          <w:szCs w:val="22"/>
        </w:rPr>
        <w:t>.</w:t>
      </w:r>
      <w:r w:rsidRPr="004C4812">
        <w:rPr>
          <w:rFonts w:ascii="Calibri" w:hAnsi="Calibri"/>
          <w:bCs/>
          <w:sz w:val="22"/>
          <w:szCs w:val="22"/>
        </w:rPr>
        <w:t>3d</w:t>
      </w:r>
      <w:r w:rsidR="004C4812" w:rsidRPr="004C4812">
        <w:rPr>
          <w:rFonts w:ascii="Calibri" w:hAnsi="Calibri"/>
          <w:bCs/>
          <w:sz w:val="22"/>
          <w:szCs w:val="22"/>
        </w:rPr>
        <w:t xml:space="preserve"> </w:t>
      </w:r>
      <w:r w:rsidRPr="004C4812">
        <w:rPr>
          <w:rFonts w:ascii="Calibri" w:hAnsi="Calibri"/>
          <w:bCs/>
          <w:sz w:val="22"/>
          <w:szCs w:val="22"/>
        </w:rPr>
        <w:t>891</w:t>
      </w:r>
      <w:r w:rsidR="004C4812" w:rsidRPr="004C4812">
        <w:rPr>
          <w:rFonts w:ascii="Calibri" w:hAnsi="Calibri"/>
          <w:bCs/>
          <w:sz w:val="22"/>
          <w:szCs w:val="22"/>
        </w:rPr>
        <w:t xml:space="preserve"> </w:t>
      </w:r>
      <w:r w:rsidRPr="004C4812">
        <w:rPr>
          <w:rFonts w:ascii="Calibri" w:hAnsi="Calibri"/>
          <w:sz w:val="22"/>
          <w:szCs w:val="22"/>
        </w:rPr>
        <w:t>(</w:t>
      </w:r>
      <w:r w:rsidRPr="004C4812">
        <w:rPr>
          <w:rFonts w:ascii="Calibri" w:hAnsi="Calibri"/>
          <w:bCs/>
          <w:sz w:val="22"/>
          <w:szCs w:val="22"/>
        </w:rPr>
        <w:t>Mo</w:t>
      </w:r>
      <w:r w:rsidRPr="004C4812">
        <w:rPr>
          <w:rFonts w:ascii="Calibri" w:hAnsi="Calibri"/>
          <w:sz w:val="22"/>
          <w:szCs w:val="22"/>
        </w:rPr>
        <w:t>.</w:t>
      </w:r>
      <w:r w:rsidR="004C4812" w:rsidRPr="004C4812">
        <w:rPr>
          <w:rFonts w:ascii="Calibri" w:hAnsi="Calibri"/>
          <w:sz w:val="22"/>
          <w:szCs w:val="22"/>
        </w:rPr>
        <w:t xml:space="preserve"> </w:t>
      </w:r>
      <w:r w:rsidRPr="004C4812">
        <w:rPr>
          <w:rFonts w:ascii="Calibri" w:hAnsi="Calibri"/>
          <w:bCs/>
          <w:sz w:val="22"/>
          <w:szCs w:val="22"/>
        </w:rPr>
        <w:t>1999</w:t>
      </w:r>
      <w:r w:rsidRPr="004C4812">
        <w:rPr>
          <w:rFonts w:ascii="Calibri" w:hAnsi="Calibri"/>
          <w:sz w:val="22"/>
          <w:szCs w:val="22"/>
        </w:rPr>
        <w:t>).</w:t>
      </w:r>
      <w:r w:rsidR="00CB06ED">
        <w:rPr>
          <w:rFonts w:ascii="Calibri" w:hAnsi="Calibri"/>
          <w:sz w:val="22"/>
          <w:szCs w:val="22"/>
        </w:rPr>
        <w:t xml:space="preserve"> </w:t>
      </w:r>
      <w:r w:rsidR="004C4812" w:rsidRPr="004C4812">
        <w:rPr>
          <w:rFonts w:ascii="Calibri" w:hAnsi="Calibri"/>
          <w:bCs/>
          <w:sz w:val="22"/>
          <w:szCs w:val="22"/>
        </w:rPr>
        <w:t xml:space="preserve">In </w:t>
      </w:r>
      <w:r w:rsidRPr="004C4812">
        <w:rPr>
          <w:rFonts w:ascii="Calibri" w:hAnsi="Calibri"/>
          <w:bCs/>
          <w:i/>
          <w:sz w:val="22"/>
          <w:szCs w:val="22"/>
        </w:rPr>
        <w:t>Harbin</w:t>
      </w:r>
      <w:r w:rsidRPr="004C4812">
        <w:rPr>
          <w:rFonts w:ascii="Calibri" w:hAnsi="Calibri"/>
          <w:i/>
          <w:sz w:val="22"/>
          <w:szCs w:val="22"/>
        </w:rPr>
        <w:t>,</w:t>
      </w:r>
      <w:r w:rsidR="004C4812" w:rsidRPr="004C4812">
        <w:rPr>
          <w:rFonts w:ascii="Calibri" w:hAnsi="Calibri"/>
          <w:sz w:val="22"/>
          <w:szCs w:val="22"/>
        </w:rPr>
        <w:t xml:space="preserve"> t</w:t>
      </w:r>
      <w:r w:rsidR="004C4812" w:rsidRPr="004C4812">
        <w:rPr>
          <w:rFonts w:ascii="Calibri" w:hAnsi="Calibri"/>
          <w:bCs/>
          <w:sz w:val="22"/>
          <w:szCs w:val="22"/>
        </w:rPr>
        <w:t>he customer</w:t>
      </w:r>
      <w:r w:rsidRPr="004C4812">
        <w:rPr>
          <w:rFonts w:ascii="Calibri" w:hAnsi="Calibri"/>
          <w:sz w:val="22"/>
          <w:szCs w:val="22"/>
        </w:rPr>
        <w:t xml:space="preserve"> of an auto dealership test drove their insured vehicle which suffered property damage due to the customer/driver. After paying the d</w:t>
      </w:r>
      <w:r w:rsidR="004C4812" w:rsidRPr="004C4812">
        <w:rPr>
          <w:rFonts w:ascii="Calibri" w:hAnsi="Calibri"/>
          <w:sz w:val="22"/>
          <w:szCs w:val="22"/>
        </w:rPr>
        <w:t>ealership its claim, the dealer’</w:t>
      </w:r>
      <w:r w:rsidRPr="004C4812">
        <w:rPr>
          <w:rFonts w:ascii="Calibri" w:hAnsi="Calibri"/>
          <w:sz w:val="22"/>
          <w:szCs w:val="22"/>
        </w:rPr>
        <w:t>s insurer commenced a subrogation action against the driver to recover for property damage claim. The driver defended on the grounds that he was an insured under the policy and</w:t>
      </w:r>
      <w:r w:rsidR="004C4812" w:rsidRPr="004C4812">
        <w:rPr>
          <w:rFonts w:ascii="Calibri" w:hAnsi="Calibri"/>
          <w:sz w:val="22"/>
          <w:szCs w:val="22"/>
        </w:rPr>
        <w:t>,</w:t>
      </w:r>
      <w:r w:rsidRPr="004C4812">
        <w:rPr>
          <w:rFonts w:ascii="Calibri" w:hAnsi="Calibri"/>
          <w:sz w:val="22"/>
          <w:szCs w:val="22"/>
        </w:rPr>
        <w:t xml:space="preserve"> therefore</w:t>
      </w:r>
      <w:r w:rsidR="004C4812" w:rsidRPr="004C4812">
        <w:rPr>
          <w:rFonts w:ascii="Calibri" w:hAnsi="Calibri"/>
          <w:sz w:val="22"/>
          <w:szCs w:val="22"/>
        </w:rPr>
        <w:t>,</w:t>
      </w:r>
      <w:r w:rsidRPr="004C4812">
        <w:rPr>
          <w:rFonts w:ascii="Calibri" w:hAnsi="Calibri"/>
          <w:sz w:val="22"/>
          <w:szCs w:val="22"/>
        </w:rPr>
        <w:t xml:space="preserve"> the ASR applied. The</w:t>
      </w:r>
      <w:r w:rsidR="004C4812" w:rsidRPr="004C4812">
        <w:rPr>
          <w:rFonts w:ascii="Calibri" w:hAnsi="Calibri"/>
          <w:sz w:val="22"/>
          <w:szCs w:val="22"/>
        </w:rPr>
        <w:t xml:space="preserve"> trial court granted the driver’</w:t>
      </w:r>
      <w:r w:rsidRPr="004C4812">
        <w:rPr>
          <w:rFonts w:ascii="Calibri" w:hAnsi="Calibri"/>
          <w:sz w:val="22"/>
          <w:szCs w:val="22"/>
        </w:rPr>
        <w:t>s motion for summary judgment and dismissed the subrogation action. The Missouri Supreme Court reversed, find</w:t>
      </w:r>
      <w:r w:rsidR="004C4812" w:rsidRPr="004C4812">
        <w:rPr>
          <w:rFonts w:ascii="Calibri" w:hAnsi="Calibri"/>
          <w:sz w:val="22"/>
          <w:szCs w:val="22"/>
        </w:rPr>
        <w:t>ing that the driver was not an “insured”</w:t>
      </w:r>
      <w:r w:rsidRPr="004C4812">
        <w:rPr>
          <w:rFonts w:ascii="Calibri" w:hAnsi="Calibri"/>
          <w:sz w:val="22"/>
          <w:szCs w:val="22"/>
        </w:rPr>
        <w:t xml:space="preserve"> for property damage to the vehicle and, thus, the rule prohibiting subrogation against an insured did not apply. The court reasoned that the driver was an insured only for the purpose of providing coverage for property damage to the property of others and personal injury claims. Property damage t</w:t>
      </w:r>
      <w:r w:rsidR="004C4812" w:rsidRPr="004C4812">
        <w:rPr>
          <w:rFonts w:ascii="Calibri" w:hAnsi="Calibri"/>
          <w:sz w:val="22"/>
          <w:szCs w:val="22"/>
        </w:rPr>
        <w:t>o the insured’s dealer’</w:t>
      </w:r>
      <w:r w:rsidRPr="004C4812">
        <w:rPr>
          <w:rFonts w:ascii="Calibri" w:hAnsi="Calibri"/>
          <w:sz w:val="22"/>
          <w:szCs w:val="22"/>
        </w:rPr>
        <w:t>s vehicle was outside of such coverage and</w:t>
      </w:r>
      <w:r w:rsidR="004C4812" w:rsidRPr="004C4812">
        <w:rPr>
          <w:rFonts w:ascii="Calibri" w:hAnsi="Calibri"/>
          <w:sz w:val="22"/>
          <w:szCs w:val="22"/>
        </w:rPr>
        <w:t>,</w:t>
      </w:r>
      <w:r w:rsidRPr="004C4812">
        <w:rPr>
          <w:rFonts w:ascii="Calibri" w:hAnsi="Calibri"/>
          <w:sz w:val="22"/>
          <w:szCs w:val="22"/>
        </w:rPr>
        <w:t xml:space="preserve"> therefore</w:t>
      </w:r>
      <w:r w:rsidR="004C4812" w:rsidRPr="004C4812">
        <w:rPr>
          <w:rFonts w:ascii="Calibri" w:hAnsi="Calibri"/>
          <w:sz w:val="22"/>
          <w:szCs w:val="22"/>
        </w:rPr>
        <w:t>,</w:t>
      </w:r>
      <w:r w:rsidRPr="004C4812">
        <w:rPr>
          <w:rFonts w:ascii="Calibri" w:hAnsi="Calibri"/>
          <w:sz w:val="22"/>
          <w:szCs w:val="22"/>
        </w:rPr>
        <w:t xml:space="preserve"> subrogation was allowed</w:t>
      </w:r>
      <w:r w:rsidR="004C4812" w:rsidRPr="004C4812">
        <w:rPr>
          <w:rFonts w:ascii="Calibri" w:hAnsi="Calibri"/>
          <w:sz w:val="22"/>
          <w:szCs w:val="22"/>
        </w:rPr>
        <w:t>.</w:t>
      </w:r>
    </w:p>
    <w:p w14:paraId="6669C061" w14:textId="77777777" w:rsidR="006318A0" w:rsidRPr="008F013B" w:rsidRDefault="00935406" w:rsidP="004C4812">
      <w:pPr>
        <w:spacing w:before="240" w:after="120"/>
        <w:jc w:val="both"/>
        <w:rPr>
          <w:rFonts w:ascii="Calibri" w:hAnsi="Calibri"/>
          <w:b/>
          <w:color w:val="0F243E"/>
          <w:sz w:val="24"/>
          <w:szCs w:val="24"/>
        </w:rPr>
      </w:pPr>
      <w:r w:rsidRPr="008F013B">
        <w:rPr>
          <w:rFonts w:ascii="Calibri" w:hAnsi="Calibri"/>
          <w:b/>
          <w:color w:val="0F243E"/>
          <w:sz w:val="24"/>
          <w:szCs w:val="24"/>
          <w:u w:val="single"/>
        </w:rPr>
        <w:t>MONTANA</w:t>
      </w:r>
    </w:p>
    <w:p w14:paraId="0206415A" w14:textId="12E4A486" w:rsidR="007E53CB" w:rsidRPr="00087320" w:rsidRDefault="007E53CB" w:rsidP="00696E3D">
      <w:pPr>
        <w:spacing w:before="120" w:after="120"/>
        <w:jc w:val="both"/>
        <w:rPr>
          <w:rFonts w:ascii="Calibri" w:hAnsi="Calibri"/>
          <w:b/>
          <w:sz w:val="22"/>
          <w:szCs w:val="22"/>
        </w:rPr>
      </w:pPr>
      <w:r w:rsidRPr="00087320">
        <w:rPr>
          <w:rFonts w:ascii="Calibri" w:hAnsi="Calibri"/>
          <w:sz w:val="22"/>
          <w:szCs w:val="22"/>
        </w:rPr>
        <w:t xml:space="preserve">An insurer has no right of subrogation against its own insured. </w:t>
      </w:r>
      <w:r w:rsidRPr="00087320">
        <w:rPr>
          <w:rFonts w:ascii="Calibri" w:hAnsi="Calibri"/>
          <w:i/>
          <w:sz w:val="22"/>
          <w:szCs w:val="22"/>
        </w:rPr>
        <w:t>Home Ins</w:t>
      </w:r>
      <w:r w:rsidR="00281468">
        <w:rPr>
          <w:rFonts w:ascii="Calibri" w:hAnsi="Calibri"/>
          <w:i/>
          <w:sz w:val="22"/>
          <w:szCs w:val="22"/>
        </w:rPr>
        <w:t>.</w:t>
      </w:r>
      <w:r w:rsidRPr="00087320">
        <w:rPr>
          <w:rFonts w:ascii="Calibri" w:hAnsi="Calibri"/>
          <w:i/>
          <w:sz w:val="22"/>
          <w:szCs w:val="22"/>
        </w:rPr>
        <w:t xml:space="preserve"> Co</w:t>
      </w:r>
      <w:r w:rsidR="00281468">
        <w:rPr>
          <w:rFonts w:ascii="Calibri" w:hAnsi="Calibri"/>
          <w:i/>
          <w:sz w:val="22"/>
          <w:szCs w:val="22"/>
        </w:rPr>
        <w:t>.</w:t>
      </w:r>
      <w:r w:rsidRPr="00087320">
        <w:rPr>
          <w:rFonts w:ascii="Calibri" w:hAnsi="Calibri"/>
          <w:i/>
          <w:sz w:val="22"/>
          <w:szCs w:val="22"/>
        </w:rPr>
        <w:t xml:space="preserve"> v. Pinski Brothers, Inc.</w:t>
      </w:r>
      <w:r w:rsidRPr="00087320">
        <w:rPr>
          <w:rFonts w:ascii="Calibri" w:hAnsi="Calibri"/>
          <w:sz w:val="22"/>
          <w:szCs w:val="22"/>
        </w:rPr>
        <w:t>, 500 P.2d 945 (</w:t>
      </w:r>
      <w:r w:rsidR="00460CEF" w:rsidRPr="00087320">
        <w:rPr>
          <w:rFonts w:ascii="Calibri" w:hAnsi="Calibri"/>
          <w:sz w:val="22"/>
          <w:szCs w:val="22"/>
        </w:rPr>
        <w:t xml:space="preserve">Mont. </w:t>
      </w:r>
      <w:r w:rsidRPr="00087320">
        <w:rPr>
          <w:rFonts w:ascii="Calibri" w:hAnsi="Calibri"/>
          <w:sz w:val="22"/>
          <w:szCs w:val="22"/>
        </w:rPr>
        <w:t xml:space="preserve">1972). </w:t>
      </w:r>
      <w:r w:rsidRPr="00087320">
        <w:rPr>
          <w:rFonts w:ascii="Calibri" w:hAnsi="Calibri"/>
          <w:color w:val="212121"/>
          <w:sz w:val="22"/>
          <w:szCs w:val="22"/>
        </w:rPr>
        <w:t xml:space="preserve">This is true both as to the named insured and as to any party to whom coverage is extended under the </w:t>
      </w:r>
      <w:r w:rsidR="00CB06ED">
        <w:rPr>
          <w:rFonts w:ascii="Calibri" w:hAnsi="Calibri"/>
          <w:color w:val="212121"/>
          <w:sz w:val="22"/>
          <w:szCs w:val="22"/>
        </w:rPr>
        <w:t xml:space="preserve">policy </w:t>
      </w:r>
      <w:r w:rsidRPr="00087320">
        <w:rPr>
          <w:rFonts w:ascii="Calibri" w:hAnsi="Calibri"/>
          <w:color w:val="212121"/>
          <w:sz w:val="22"/>
          <w:szCs w:val="22"/>
        </w:rPr>
        <w:t xml:space="preserve">terms; an additional insured is entitled to the same protection as the named insured. </w:t>
      </w:r>
      <w:r w:rsidRPr="00087320">
        <w:rPr>
          <w:rFonts w:ascii="Calibri" w:hAnsi="Calibri"/>
          <w:i/>
          <w:color w:val="212121"/>
          <w:sz w:val="22"/>
          <w:szCs w:val="22"/>
        </w:rPr>
        <w:t xml:space="preserve">Truck Ins. Exchange v. Transport </w:t>
      </w:r>
      <w:proofErr w:type="spellStart"/>
      <w:r w:rsidRPr="00087320">
        <w:rPr>
          <w:rFonts w:ascii="Calibri" w:hAnsi="Calibri"/>
          <w:i/>
          <w:color w:val="212121"/>
          <w:sz w:val="22"/>
          <w:szCs w:val="22"/>
        </w:rPr>
        <w:t>Indem</w:t>
      </w:r>
      <w:proofErr w:type="spellEnd"/>
      <w:r w:rsidRPr="00087320">
        <w:rPr>
          <w:rFonts w:ascii="Calibri" w:hAnsi="Calibri"/>
          <w:i/>
          <w:color w:val="212121"/>
          <w:sz w:val="22"/>
          <w:szCs w:val="22"/>
        </w:rPr>
        <w:t>. Co.</w:t>
      </w:r>
      <w:r w:rsidRPr="00087320">
        <w:rPr>
          <w:rFonts w:ascii="Calibri" w:hAnsi="Calibri"/>
          <w:color w:val="212121"/>
          <w:sz w:val="22"/>
          <w:szCs w:val="22"/>
        </w:rPr>
        <w:t>, 591 P.2d 188 (Mont. 1979).</w:t>
      </w:r>
      <w:r w:rsidRPr="00087320">
        <w:rPr>
          <w:rFonts w:ascii="Calibri" w:hAnsi="Calibri"/>
          <w:sz w:val="22"/>
          <w:szCs w:val="22"/>
        </w:rPr>
        <w:t xml:space="preserve"> A homeowner</w:t>
      </w:r>
      <w:r w:rsidR="00087320" w:rsidRPr="00087320">
        <w:rPr>
          <w:rFonts w:ascii="Calibri" w:hAnsi="Calibri"/>
          <w:sz w:val="22"/>
          <w:szCs w:val="22"/>
        </w:rPr>
        <w:t>’</w:t>
      </w:r>
      <w:r w:rsidRPr="00087320">
        <w:rPr>
          <w:rFonts w:ascii="Calibri" w:hAnsi="Calibri"/>
          <w:sz w:val="22"/>
          <w:szCs w:val="22"/>
        </w:rPr>
        <w:t xml:space="preserve">s insurer cannot seek subrogation against a family member who is </w:t>
      </w:r>
      <w:r w:rsidR="00087320" w:rsidRPr="00087320">
        <w:rPr>
          <w:rFonts w:ascii="Calibri" w:hAnsi="Calibri"/>
          <w:sz w:val="22"/>
          <w:szCs w:val="22"/>
        </w:rPr>
        <w:t xml:space="preserve">a </w:t>
      </w:r>
      <w:r w:rsidRPr="00087320">
        <w:rPr>
          <w:rFonts w:ascii="Calibri" w:hAnsi="Calibri"/>
          <w:sz w:val="22"/>
          <w:szCs w:val="22"/>
        </w:rPr>
        <w:t xml:space="preserve">guest of insured since it is, in effect, seeking to recover from </w:t>
      </w:r>
      <w:r w:rsidR="00406E94">
        <w:rPr>
          <w:rFonts w:ascii="Calibri" w:hAnsi="Calibri"/>
          <w:sz w:val="22"/>
          <w:szCs w:val="22"/>
        </w:rPr>
        <w:t xml:space="preserve">the </w:t>
      </w:r>
      <w:r w:rsidRPr="00087320">
        <w:rPr>
          <w:rFonts w:ascii="Calibri" w:hAnsi="Calibri"/>
          <w:sz w:val="22"/>
          <w:szCs w:val="22"/>
        </w:rPr>
        <w:t xml:space="preserve">insured himself. </w:t>
      </w:r>
      <w:r w:rsidRPr="00087320">
        <w:rPr>
          <w:rFonts w:ascii="Calibri" w:hAnsi="Calibri"/>
          <w:i/>
          <w:sz w:val="22"/>
          <w:szCs w:val="22"/>
        </w:rPr>
        <w:t>Continental Ins. Co. v. Bottomly</w:t>
      </w:r>
      <w:r w:rsidRPr="00087320">
        <w:rPr>
          <w:rFonts w:ascii="Calibri" w:hAnsi="Calibri"/>
          <w:sz w:val="22"/>
          <w:szCs w:val="22"/>
        </w:rPr>
        <w:t>, 817 P.2d 1162 (</w:t>
      </w:r>
      <w:r w:rsidR="00460CEF" w:rsidRPr="00087320">
        <w:rPr>
          <w:rFonts w:ascii="Calibri" w:hAnsi="Calibri"/>
          <w:sz w:val="22"/>
          <w:szCs w:val="22"/>
        </w:rPr>
        <w:t xml:space="preserve">Mont. </w:t>
      </w:r>
      <w:r w:rsidR="00087320" w:rsidRPr="00087320">
        <w:rPr>
          <w:rFonts w:ascii="Calibri" w:hAnsi="Calibri"/>
          <w:sz w:val="22"/>
          <w:szCs w:val="22"/>
        </w:rPr>
        <w:t>1991).</w:t>
      </w:r>
      <w:r w:rsidR="00CB06ED">
        <w:rPr>
          <w:rFonts w:ascii="Calibri" w:hAnsi="Calibri"/>
          <w:sz w:val="22"/>
          <w:szCs w:val="22"/>
        </w:rPr>
        <w:t xml:space="preserve"> I</w:t>
      </w:r>
      <w:r w:rsidR="00087320" w:rsidRPr="00087320">
        <w:rPr>
          <w:rFonts w:ascii="Calibri" w:hAnsi="Calibri"/>
          <w:sz w:val="22"/>
          <w:szCs w:val="22"/>
        </w:rPr>
        <w:t xml:space="preserve">n </w:t>
      </w:r>
      <w:r w:rsidRPr="00087320">
        <w:rPr>
          <w:rFonts w:ascii="Calibri" w:hAnsi="Calibri"/>
          <w:i/>
          <w:sz w:val="22"/>
          <w:szCs w:val="22"/>
        </w:rPr>
        <w:t>Pinski Brothers, Inc.</w:t>
      </w:r>
      <w:r w:rsidRPr="00087320">
        <w:rPr>
          <w:rFonts w:ascii="Calibri" w:hAnsi="Calibri"/>
          <w:sz w:val="22"/>
          <w:szCs w:val="22"/>
        </w:rPr>
        <w:t xml:space="preserve">, </w:t>
      </w:r>
      <w:r w:rsidR="00087320" w:rsidRPr="00087320">
        <w:rPr>
          <w:rFonts w:ascii="Calibri" w:hAnsi="Calibri"/>
          <w:sz w:val="22"/>
          <w:szCs w:val="22"/>
        </w:rPr>
        <w:t>a</w:t>
      </w:r>
      <w:r w:rsidRPr="00087320">
        <w:rPr>
          <w:rFonts w:ascii="Calibri" w:hAnsi="Calibri"/>
          <w:sz w:val="22"/>
          <w:szCs w:val="22"/>
        </w:rPr>
        <w:t xml:space="preserve"> building was heavily damaged after an explosion occurred d</w:t>
      </w:r>
      <w:r w:rsidR="00CB06ED">
        <w:rPr>
          <w:rFonts w:ascii="Calibri" w:hAnsi="Calibri"/>
          <w:sz w:val="22"/>
          <w:szCs w:val="22"/>
        </w:rPr>
        <w:t>uring renovations. The building’</w:t>
      </w:r>
      <w:r w:rsidRPr="00087320">
        <w:rPr>
          <w:rFonts w:ascii="Calibri" w:hAnsi="Calibri"/>
          <w:sz w:val="22"/>
          <w:szCs w:val="22"/>
        </w:rPr>
        <w:t>s insurer was precluded from subrogating against the renovation’s architect because the same insurer covered the architect under a separate liability policy.</w:t>
      </w:r>
      <w:r w:rsidR="00087320" w:rsidRPr="00087320">
        <w:rPr>
          <w:rFonts w:ascii="Calibri" w:hAnsi="Calibri"/>
          <w:sz w:val="22"/>
          <w:szCs w:val="22"/>
        </w:rPr>
        <w:t xml:space="preserve"> In </w:t>
      </w:r>
      <w:r w:rsidRPr="00087320">
        <w:rPr>
          <w:rFonts w:ascii="Calibri" w:hAnsi="Calibri"/>
          <w:i/>
          <w:sz w:val="22"/>
          <w:szCs w:val="22"/>
        </w:rPr>
        <w:t>Bottomly,</w:t>
      </w:r>
      <w:r w:rsidRPr="00087320">
        <w:rPr>
          <w:rFonts w:ascii="Calibri" w:hAnsi="Calibri"/>
          <w:sz w:val="22"/>
          <w:szCs w:val="22"/>
        </w:rPr>
        <w:t xml:space="preserve"> Gene Bottomly negligently burned down a cabin that was used by the extended Bottomly family as a vacation home. The only named individual on the cabin’s homeowner’s policy was Gene’s brother, Rich Bottomly, who received compensation from Continental Insurance (</w:t>
      </w:r>
      <w:r w:rsidR="006A4B98">
        <w:rPr>
          <w:rFonts w:ascii="Calibri" w:hAnsi="Calibri"/>
          <w:sz w:val="22"/>
          <w:szCs w:val="22"/>
        </w:rPr>
        <w:t>“</w:t>
      </w:r>
      <w:r w:rsidRPr="00087320">
        <w:rPr>
          <w:rFonts w:ascii="Calibri" w:hAnsi="Calibri"/>
          <w:sz w:val="22"/>
          <w:szCs w:val="22"/>
        </w:rPr>
        <w:t>Continental</w:t>
      </w:r>
      <w:r w:rsidR="006A4B98">
        <w:rPr>
          <w:rFonts w:ascii="Calibri" w:hAnsi="Calibri"/>
          <w:sz w:val="22"/>
          <w:szCs w:val="22"/>
        </w:rPr>
        <w:t>”</w:t>
      </w:r>
      <w:r w:rsidRPr="00087320">
        <w:rPr>
          <w:rFonts w:ascii="Calibri" w:hAnsi="Calibri"/>
          <w:sz w:val="22"/>
          <w:szCs w:val="22"/>
        </w:rPr>
        <w:t>) after the cabin was burned down. Continental’s subsequent subrogation action against Gene was blocked by the Court on the basis that allowing subrogation against Rich’s guest at the cabin would be akin to allowing subrogation against Rich himself.</w:t>
      </w:r>
      <w:r w:rsidR="00A04A29">
        <w:rPr>
          <w:rFonts w:ascii="Calibri" w:hAnsi="Calibri"/>
          <w:sz w:val="22"/>
          <w:szCs w:val="22"/>
        </w:rPr>
        <w:t xml:space="preserve"> Th ASR </w:t>
      </w:r>
      <w:r w:rsidR="00A04A29" w:rsidRPr="00A04A29">
        <w:rPr>
          <w:rFonts w:ascii="Calibri" w:hAnsi="Calibri"/>
          <w:sz w:val="22"/>
          <w:szCs w:val="22"/>
        </w:rPr>
        <w:t xml:space="preserve">was expanded to include plaintiffs and defendants insured under different policies of insurance (one property, the other casualty) issued by the same carrier. </w:t>
      </w:r>
      <w:r w:rsidR="00A04A29" w:rsidRPr="00196B2A">
        <w:rPr>
          <w:rFonts w:ascii="Calibri" w:hAnsi="Calibri"/>
          <w:i/>
          <w:iCs/>
          <w:sz w:val="22"/>
          <w:szCs w:val="22"/>
        </w:rPr>
        <w:t>Home Ins. Co. v. Pinski Bros., Inc</w:t>
      </w:r>
      <w:r w:rsidR="00A04A29" w:rsidRPr="00A04A29">
        <w:rPr>
          <w:rFonts w:ascii="Calibri" w:hAnsi="Calibri"/>
          <w:sz w:val="22"/>
          <w:szCs w:val="22"/>
        </w:rPr>
        <w:t>., 500 P.2d 945 (</w:t>
      </w:r>
      <w:r w:rsidR="00A04A29">
        <w:rPr>
          <w:rFonts w:ascii="Calibri" w:hAnsi="Calibri"/>
          <w:sz w:val="22"/>
          <w:szCs w:val="22"/>
        </w:rPr>
        <w:t xml:space="preserve">Mont. </w:t>
      </w:r>
      <w:r w:rsidR="00A04A29" w:rsidRPr="00A04A29">
        <w:rPr>
          <w:rFonts w:ascii="Calibri" w:hAnsi="Calibri"/>
          <w:sz w:val="22"/>
          <w:szCs w:val="22"/>
        </w:rPr>
        <w:t>1972)</w:t>
      </w:r>
      <w:r w:rsidR="00A04A29">
        <w:rPr>
          <w:rFonts w:ascii="Calibri" w:hAnsi="Calibri"/>
          <w:sz w:val="22"/>
          <w:szCs w:val="22"/>
        </w:rPr>
        <w:t>.</w:t>
      </w:r>
    </w:p>
    <w:p w14:paraId="4505D3B1" w14:textId="77777777" w:rsidR="004125C1" w:rsidRPr="008F013B" w:rsidRDefault="00935406" w:rsidP="00CB06ED">
      <w:pPr>
        <w:spacing w:before="240" w:after="120"/>
        <w:rPr>
          <w:rFonts w:ascii="Calibri" w:hAnsi="Calibri"/>
          <w:color w:val="0F243E"/>
          <w:sz w:val="24"/>
          <w:szCs w:val="24"/>
        </w:rPr>
      </w:pPr>
      <w:r w:rsidRPr="008F013B">
        <w:rPr>
          <w:rFonts w:ascii="Calibri" w:hAnsi="Calibri"/>
          <w:b/>
          <w:color w:val="0F243E"/>
          <w:sz w:val="24"/>
          <w:szCs w:val="24"/>
          <w:u w:val="single"/>
        </w:rPr>
        <w:t>NEBRASKA</w:t>
      </w:r>
    </w:p>
    <w:p w14:paraId="6EFD819A" w14:textId="3B5A35CE" w:rsidR="00A5316F" w:rsidRPr="00A5316F" w:rsidRDefault="004125C1" w:rsidP="00A5316F">
      <w:pPr>
        <w:spacing w:before="120" w:after="120"/>
        <w:jc w:val="both"/>
        <w:rPr>
          <w:rFonts w:ascii="Calibri" w:hAnsi="Calibri"/>
          <w:sz w:val="22"/>
          <w:szCs w:val="22"/>
        </w:rPr>
      </w:pPr>
      <w:r w:rsidRPr="007F6B07">
        <w:rPr>
          <w:rFonts w:ascii="Calibri" w:hAnsi="Calibri"/>
          <w:sz w:val="22"/>
          <w:szCs w:val="22"/>
        </w:rPr>
        <w:t xml:space="preserve">Generally, no right of subrogation can arise in favor of </w:t>
      </w:r>
      <w:r w:rsidR="00CB06ED" w:rsidRPr="007F6B07">
        <w:rPr>
          <w:rFonts w:ascii="Calibri" w:hAnsi="Calibri"/>
          <w:sz w:val="22"/>
          <w:szCs w:val="22"/>
        </w:rPr>
        <w:t xml:space="preserve">an </w:t>
      </w:r>
      <w:r w:rsidRPr="007F6B07">
        <w:rPr>
          <w:rFonts w:ascii="Calibri" w:hAnsi="Calibri"/>
          <w:sz w:val="22"/>
          <w:szCs w:val="22"/>
        </w:rPr>
        <w:t xml:space="preserve">insurer against its own insured. </w:t>
      </w:r>
      <w:r w:rsidRPr="007F6B07">
        <w:rPr>
          <w:rFonts w:ascii="Calibri" w:hAnsi="Calibri"/>
          <w:i/>
          <w:sz w:val="22"/>
          <w:szCs w:val="22"/>
        </w:rPr>
        <w:t>Stetina v. State Farm Mut. Auto. Ins. Co.</w:t>
      </w:r>
      <w:r w:rsidRPr="007F6B07">
        <w:rPr>
          <w:rFonts w:ascii="Calibri" w:hAnsi="Calibri"/>
          <w:sz w:val="22"/>
          <w:szCs w:val="22"/>
        </w:rPr>
        <w:t>, 243 N.W.2d 341 (</w:t>
      </w:r>
      <w:r w:rsidR="005D12A6" w:rsidRPr="007F6B07">
        <w:rPr>
          <w:rFonts w:ascii="Calibri" w:hAnsi="Calibri"/>
          <w:sz w:val="22"/>
          <w:szCs w:val="22"/>
        </w:rPr>
        <w:t xml:space="preserve">Neb. </w:t>
      </w:r>
      <w:r w:rsidRPr="007F6B07">
        <w:rPr>
          <w:rFonts w:ascii="Calibri" w:hAnsi="Calibri"/>
          <w:sz w:val="22"/>
          <w:szCs w:val="22"/>
        </w:rPr>
        <w:t xml:space="preserve">1976). However, an insurer can subrogate against a policyholder whose intentional conduct resulted in a loss. </w:t>
      </w:r>
      <w:r w:rsidRPr="007F6B07">
        <w:rPr>
          <w:rFonts w:ascii="Calibri" w:hAnsi="Calibri"/>
          <w:i/>
          <w:sz w:val="22"/>
          <w:szCs w:val="22"/>
        </w:rPr>
        <w:t xml:space="preserve">Allstate Ins. Co. v. </w:t>
      </w:r>
      <w:proofErr w:type="spellStart"/>
      <w:r w:rsidRPr="007F6B07">
        <w:rPr>
          <w:rFonts w:ascii="Calibri" w:hAnsi="Calibri"/>
          <w:i/>
          <w:sz w:val="22"/>
          <w:szCs w:val="22"/>
        </w:rPr>
        <w:t>LaRandeau</w:t>
      </w:r>
      <w:proofErr w:type="spellEnd"/>
      <w:r w:rsidRPr="007F6B07">
        <w:rPr>
          <w:rFonts w:ascii="Calibri" w:hAnsi="Calibri"/>
          <w:i/>
          <w:sz w:val="22"/>
          <w:szCs w:val="22"/>
        </w:rPr>
        <w:t xml:space="preserve">, </w:t>
      </w:r>
      <w:r w:rsidRPr="007F6B07">
        <w:rPr>
          <w:rFonts w:ascii="Calibri" w:hAnsi="Calibri"/>
          <w:bCs/>
          <w:sz w:val="22"/>
          <w:szCs w:val="22"/>
        </w:rPr>
        <w:t>622</w:t>
      </w:r>
      <w:r w:rsidR="00CB06ED" w:rsidRPr="007F6B07">
        <w:rPr>
          <w:rFonts w:ascii="Calibri" w:hAnsi="Calibri"/>
          <w:sz w:val="22"/>
          <w:szCs w:val="22"/>
        </w:rPr>
        <w:t xml:space="preserve"> </w:t>
      </w:r>
      <w:r w:rsidRPr="007F6B07">
        <w:rPr>
          <w:rFonts w:ascii="Calibri" w:hAnsi="Calibri"/>
          <w:bCs/>
          <w:sz w:val="22"/>
          <w:szCs w:val="22"/>
        </w:rPr>
        <w:t>N.W</w:t>
      </w:r>
      <w:r w:rsidRPr="007F6B07">
        <w:rPr>
          <w:rFonts w:ascii="Calibri" w:hAnsi="Calibri"/>
          <w:sz w:val="22"/>
          <w:szCs w:val="22"/>
        </w:rPr>
        <w:t>.</w:t>
      </w:r>
      <w:r w:rsidRPr="007F6B07">
        <w:rPr>
          <w:rFonts w:ascii="Calibri" w:hAnsi="Calibri"/>
          <w:bCs/>
          <w:sz w:val="22"/>
          <w:szCs w:val="22"/>
        </w:rPr>
        <w:t>2d</w:t>
      </w:r>
      <w:r w:rsidR="00CB06ED" w:rsidRPr="007F6B07">
        <w:rPr>
          <w:rFonts w:ascii="Calibri" w:hAnsi="Calibri"/>
          <w:bCs/>
          <w:sz w:val="22"/>
          <w:szCs w:val="22"/>
        </w:rPr>
        <w:t xml:space="preserve"> </w:t>
      </w:r>
      <w:r w:rsidRPr="007F6B07">
        <w:rPr>
          <w:rFonts w:ascii="Calibri" w:hAnsi="Calibri"/>
          <w:bCs/>
          <w:sz w:val="22"/>
          <w:szCs w:val="22"/>
        </w:rPr>
        <w:t>646</w:t>
      </w:r>
      <w:r w:rsidR="00CB06ED" w:rsidRPr="007F6B07">
        <w:rPr>
          <w:rFonts w:ascii="Calibri" w:hAnsi="Calibri"/>
          <w:bCs/>
          <w:sz w:val="22"/>
          <w:szCs w:val="22"/>
        </w:rPr>
        <w:t xml:space="preserve"> </w:t>
      </w:r>
      <w:r w:rsidRPr="007F6B07">
        <w:rPr>
          <w:rFonts w:ascii="Calibri" w:hAnsi="Calibri"/>
          <w:sz w:val="22"/>
          <w:szCs w:val="22"/>
        </w:rPr>
        <w:t>(</w:t>
      </w:r>
      <w:r w:rsidR="005D12A6" w:rsidRPr="007F6B07">
        <w:rPr>
          <w:rFonts w:ascii="Calibri" w:hAnsi="Calibri"/>
          <w:sz w:val="22"/>
          <w:szCs w:val="22"/>
        </w:rPr>
        <w:t xml:space="preserve">Neb. </w:t>
      </w:r>
      <w:r w:rsidRPr="007F6B07">
        <w:rPr>
          <w:rFonts w:ascii="Calibri" w:hAnsi="Calibri"/>
          <w:bCs/>
          <w:sz w:val="22"/>
          <w:szCs w:val="22"/>
        </w:rPr>
        <w:t>2001</w:t>
      </w:r>
      <w:r w:rsidRPr="007F6B07">
        <w:rPr>
          <w:rFonts w:ascii="Calibri" w:hAnsi="Calibri"/>
          <w:sz w:val="22"/>
          <w:szCs w:val="22"/>
        </w:rPr>
        <w:t>)</w:t>
      </w:r>
      <w:r w:rsidR="00CB06ED" w:rsidRPr="007F6B07">
        <w:rPr>
          <w:rFonts w:ascii="Calibri" w:hAnsi="Calibri"/>
          <w:sz w:val="22"/>
          <w:szCs w:val="22"/>
        </w:rPr>
        <w:t xml:space="preserve"> (w</w:t>
      </w:r>
      <w:r w:rsidRPr="007F6B07">
        <w:rPr>
          <w:rFonts w:ascii="Calibri" w:hAnsi="Calibri"/>
          <w:sz w:val="22"/>
          <w:szCs w:val="22"/>
        </w:rPr>
        <w:t xml:space="preserve">here a husband intentionally burned down the home he and his wife shared, the insurer could pay the wife for her damages and subsequently subrogate against the husband by treating him as a third party to the relationship between insurer and the wife). If an insured tells a guest that he will leave his policy on the home intact for when the guest is staying in the home, the insurance can be said to be for the benefit of the guest as much as the insured, therefore, the ASR is </w:t>
      </w:r>
      <w:r w:rsidR="00DE3879" w:rsidRPr="007F6B07">
        <w:rPr>
          <w:rFonts w:ascii="Calibri" w:hAnsi="Calibri"/>
          <w:sz w:val="22"/>
          <w:szCs w:val="22"/>
        </w:rPr>
        <w:t>triggered,</w:t>
      </w:r>
      <w:r w:rsidRPr="007F6B07">
        <w:rPr>
          <w:rFonts w:ascii="Calibri" w:hAnsi="Calibri"/>
          <w:sz w:val="22"/>
          <w:szCs w:val="22"/>
        </w:rPr>
        <w:t xml:space="preserve"> and the guest is protected. </w:t>
      </w:r>
      <w:r w:rsidRPr="007F6B07">
        <w:rPr>
          <w:rFonts w:ascii="Calibri" w:hAnsi="Calibri"/>
          <w:i/>
          <w:sz w:val="22"/>
          <w:szCs w:val="22"/>
        </w:rPr>
        <w:t>Reeder v. Reeder</w:t>
      </w:r>
      <w:r w:rsidRPr="007F6B07">
        <w:rPr>
          <w:rFonts w:ascii="Calibri" w:hAnsi="Calibri"/>
          <w:sz w:val="22"/>
          <w:szCs w:val="22"/>
        </w:rPr>
        <w:t xml:space="preserve">, 348 </w:t>
      </w:r>
      <w:r w:rsidR="002568AF" w:rsidRPr="007F6B07">
        <w:rPr>
          <w:rFonts w:ascii="Calibri" w:hAnsi="Calibri"/>
          <w:sz w:val="22"/>
          <w:szCs w:val="22"/>
        </w:rPr>
        <w:t>N.W.2d 832 (Neb. 1984) (w</w:t>
      </w:r>
      <w:r w:rsidRPr="007F6B07">
        <w:rPr>
          <w:rFonts w:ascii="Calibri" w:hAnsi="Calibri"/>
          <w:sz w:val="22"/>
          <w:szCs w:val="22"/>
        </w:rPr>
        <w:t xml:space="preserve">here homeowner let brother stay in his home after the homeowner moved and brother was waiting for his home’s construction to be completed, the brother was a co-insured under the policy after the homeowner told the brother he would leave the policy active). If it is the intent of a building owner to take out insurance for the mutual benefit of the building owner and a contractor, and if the owner fails to have the contractor listed as a named insured, the owner becomes the contractor’s insurer, and because an insurer’s rights can be no greater than the rights of their insured, the owner’s insurer has no right to subrogation against the contractor due to the ASR. </w:t>
      </w:r>
      <w:r w:rsidRPr="007F6B07">
        <w:rPr>
          <w:rFonts w:ascii="Calibri" w:hAnsi="Calibri"/>
          <w:i/>
          <w:sz w:val="22"/>
          <w:szCs w:val="22"/>
        </w:rPr>
        <w:t>Midwest Lumber Co. v. Dwight E. Nelson Const</w:t>
      </w:r>
      <w:r w:rsidR="007F6B07" w:rsidRPr="007F6B07">
        <w:rPr>
          <w:rFonts w:ascii="Calibri" w:hAnsi="Calibri"/>
          <w:i/>
          <w:sz w:val="22"/>
          <w:szCs w:val="22"/>
        </w:rPr>
        <w:t>r</w:t>
      </w:r>
      <w:r w:rsidRPr="007F6B07">
        <w:rPr>
          <w:rFonts w:ascii="Calibri" w:hAnsi="Calibri"/>
          <w:i/>
          <w:sz w:val="22"/>
          <w:szCs w:val="22"/>
        </w:rPr>
        <w:t>. Co.</w:t>
      </w:r>
      <w:r w:rsidRPr="007F6B07">
        <w:rPr>
          <w:rFonts w:ascii="Calibri" w:hAnsi="Calibri"/>
          <w:sz w:val="22"/>
          <w:szCs w:val="22"/>
        </w:rPr>
        <w:t xml:space="preserve">, </w:t>
      </w:r>
      <w:r w:rsidR="00D578D0" w:rsidRPr="007F6B07">
        <w:rPr>
          <w:rFonts w:ascii="Calibri" w:hAnsi="Calibri"/>
          <w:sz w:val="22"/>
          <w:szCs w:val="22"/>
        </w:rPr>
        <w:t xml:space="preserve">196 N.W.2d 377 </w:t>
      </w:r>
      <w:r w:rsidRPr="007F6B07">
        <w:rPr>
          <w:rFonts w:ascii="Calibri" w:hAnsi="Calibri"/>
          <w:sz w:val="22"/>
          <w:szCs w:val="22"/>
        </w:rPr>
        <w:t xml:space="preserve">(Neb. 1972). An insurer </w:t>
      </w:r>
      <w:r w:rsidR="008315C9" w:rsidRPr="007F6B07">
        <w:rPr>
          <w:rFonts w:ascii="Calibri" w:hAnsi="Calibri"/>
          <w:sz w:val="22"/>
          <w:szCs w:val="22"/>
        </w:rPr>
        <w:t>cannot</w:t>
      </w:r>
      <w:r w:rsidRPr="007F6B07">
        <w:rPr>
          <w:rFonts w:ascii="Calibri" w:hAnsi="Calibri"/>
          <w:sz w:val="22"/>
          <w:szCs w:val="22"/>
        </w:rPr>
        <w:t xml:space="preserve"> seek to subrogate against its own insured, even if the insured was negligent in causing the loss; further, an insurer cannot recover from an implied co</w:t>
      </w:r>
      <w:r w:rsidR="007F6B07" w:rsidRPr="007F6B07">
        <w:rPr>
          <w:rFonts w:ascii="Calibri" w:hAnsi="Calibri"/>
          <w:sz w:val="22"/>
          <w:szCs w:val="22"/>
        </w:rPr>
        <w:t>-</w:t>
      </w:r>
      <w:r w:rsidRPr="007F6B07">
        <w:rPr>
          <w:rFonts w:ascii="Calibri" w:hAnsi="Calibri"/>
          <w:sz w:val="22"/>
          <w:szCs w:val="22"/>
        </w:rPr>
        <w:t xml:space="preserve">insured for the very risk it contracted to assume. </w:t>
      </w:r>
      <w:r w:rsidRPr="007F6B07">
        <w:rPr>
          <w:rFonts w:ascii="Calibri" w:hAnsi="Calibri"/>
          <w:i/>
          <w:sz w:val="22"/>
          <w:szCs w:val="22"/>
        </w:rPr>
        <w:t>Hans v. Lucas</w:t>
      </w:r>
      <w:r w:rsidRPr="007F6B07">
        <w:rPr>
          <w:rFonts w:ascii="Calibri" w:hAnsi="Calibri"/>
          <w:sz w:val="22"/>
          <w:szCs w:val="22"/>
        </w:rPr>
        <w:t>, 703 N.W.2d 880 (</w:t>
      </w:r>
      <w:r w:rsidR="004615F8" w:rsidRPr="007F6B07">
        <w:rPr>
          <w:rFonts w:ascii="Calibri" w:hAnsi="Calibri"/>
          <w:sz w:val="22"/>
          <w:szCs w:val="22"/>
        </w:rPr>
        <w:t xml:space="preserve">Neb. </w:t>
      </w:r>
      <w:r w:rsidRPr="007F6B07">
        <w:rPr>
          <w:rFonts w:ascii="Calibri" w:hAnsi="Calibri"/>
          <w:sz w:val="22"/>
          <w:szCs w:val="22"/>
        </w:rPr>
        <w:t>2005) (where a vendor of property cont</w:t>
      </w:r>
      <w:r w:rsidR="007F6B07" w:rsidRPr="007F6B07">
        <w:rPr>
          <w:rFonts w:ascii="Calibri" w:hAnsi="Calibri"/>
          <w:sz w:val="22"/>
          <w:szCs w:val="22"/>
        </w:rPr>
        <w:t>ractually assumes the purchaser’</w:t>
      </w:r>
      <w:r w:rsidRPr="007F6B07">
        <w:rPr>
          <w:rFonts w:ascii="Calibri" w:hAnsi="Calibri"/>
          <w:sz w:val="22"/>
          <w:szCs w:val="22"/>
        </w:rPr>
        <w:t>s risk of loss, the purchaser is an implied co</w:t>
      </w:r>
      <w:r w:rsidR="007F6B07" w:rsidRPr="007F6B07">
        <w:rPr>
          <w:rFonts w:ascii="Calibri" w:hAnsi="Calibri"/>
          <w:sz w:val="22"/>
          <w:szCs w:val="22"/>
        </w:rPr>
        <w:t>-</w:t>
      </w:r>
      <w:r w:rsidRPr="007F6B07">
        <w:rPr>
          <w:rFonts w:ascii="Calibri" w:hAnsi="Calibri"/>
          <w:sz w:val="22"/>
          <w:szCs w:val="22"/>
        </w:rPr>
        <w:t xml:space="preserve">insured for the limited </w:t>
      </w:r>
      <w:r w:rsidR="007F6B07" w:rsidRPr="007F6B07">
        <w:rPr>
          <w:rFonts w:ascii="Calibri" w:hAnsi="Calibri"/>
          <w:sz w:val="22"/>
          <w:szCs w:val="22"/>
        </w:rPr>
        <w:t>purpose of defeating the vendor’</w:t>
      </w:r>
      <w:r w:rsidRPr="007F6B07">
        <w:rPr>
          <w:rFonts w:ascii="Calibri" w:hAnsi="Calibri"/>
          <w:sz w:val="22"/>
          <w:szCs w:val="22"/>
        </w:rPr>
        <w:t>s subrogati</w:t>
      </w:r>
      <w:r w:rsidR="007F6B07" w:rsidRPr="007F6B07">
        <w:rPr>
          <w:rFonts w:ascii="Calibri" w:hAnsi="Calibri"/>
          <w:sz w:val="22"/>
          <w:szCs w:val="22"/>
        </w:rPr>
        <w:t>on claim against the purchaser).</w:t>
      </w:r>
      <w:r w:rsidRPr="007F6B07">
        <w:rPr>
          <w:rFonts w:ascii="Calibri" w:hAnsi="Calibri"/>
          <w:sz w:val="22"/>
          <w:szCs w:val="22"/>
        </w:rPr>
        <w:t xml:space="preserve"> An agreement where the CGL insurer of a contractor agreed to pay an employee of a subcontractor for their injuries in exchange for a portion of any settlement that the employee received from the subcontractor did not trigger the ASR despite the subcontractor being listed as an insured </w:t>
      </w:r>
      <w:r w:rsidR="00281468" w:rsidRPr="007F6B07">
        <w:rPr>
          <w:rFonts w:ascii="Calibri" w:hAnsi="Calibri"/>
          <w:sz w:val="22"/>
          <w:szCs w:val="22"/>
        </w:rPr>
        <w:t>on the CGL policy.</w:t>
      </w:r>
      <w:r w:rsidR="007F6B07" w:rsidRPr="007F6B07">
        <w:rPr>
          <w:rFonts w:ascii="Calibri" w:hAnsi="Calibri"/>
          <w:sz w:val="22"/>
          <w:szCs w:val="22"/>
        </w:rPr>
        <w:t xml:space="preserve"> In </w:t>
      </w:r>
      <w:r w:rsidRPr="007F6B07">
        <w:rPr>
          <w:rFonts w:ascii="Calibri" w:hAnsi="Calibri"/>
          <w:i/>
          <w:sz w:val="22"/>
          <w:szCs w:val="22"/>
        </w:rPr>
        <w:t>Control Specialists v. State Farm Mut. Auto. Ins. Co.</w:t>
      </w:r>
      <w:r w:rsidRPr="007F6B07">
        <w:rPr>
          <w:rFonts w:ascii="Calibri" w:hAnsi="Calibri"/>
          <w:sz w:val="22"/>
          <w:szCs w:val="22"/>
        </w:rPr>
        <w:t>, 423 N.W.2d 775 (</w:t>
      </w:r>
      <w:r w:rsidR="004615F8" w:rsidRPr="007F6B07">
        <w:rPr>
          <w:rFonts w:ascii="Calibri" w:hAnsi="Calibri"/>
          <w:sz w:val="22"/>
          <w:szCs w:val="22"/>
        </w:rPr>
        <w:t xml:space="preserve">Neb. </w:t>
      </w:r>
      <w:r w:rsidRPr="007F6B07">
        <w:rPr>
          <w:rFonts w:ascii="Calibri" w:hAnsi="Calibri"/>
          <w:sz w:val="22"/>
          <w:szCs w:val="22"/>
        </w:rPr>
        <w:t>1988)</w:t>
      </w:r>
      <w:r w:rsidR="007F6B07" w:rsidRPr="007F6B07">
        <w:rPr>
          <w:rFonts w:ascii="Calibri" w:hAnsi="Calibri"/>
          <w:sz w:val="22"/>
          <w:szCs w:val="22"/>
        </w:rPr>
        <w:t>, the c</w:t>
      </w:r>
      <w:r w:rsidRPr="007F6B07">
        <w:rPr>
          <w:rFonts w:ascii="Calibri" w:hAnsi="Calibri"/>
          <w:sz w:val="22"/>
          <w:szCs w:val="22"/>
        </w:rPr>
        <w:t>ourt held that the ASR did not preclude an insurance company from subrogating its payment on behalf of one of its named insureds against another named insured under a different policy. Despite the fact that the insured, whom the insurer sought to subrogate against, was one to whom the insurer owed a duty, it was a duty under a different contract from the one under which it asserted its subrogation rights.</w:t>
      </w:r>
      <w:r w:rsidR="007E3A0F">
        <w:rPr>
          <w:rFonts w:ascii="Calibri" w:hAnsi="Calibri"/>
          <w:sz w:val="22"/>
          <w:szCs w:val="22"/>
        </w:rPr>
        <w:t xml:space="preserve"> In </w:t>
      </w:r>
      <w:r w:rsidR="007E3A0F" w:rsidRPr="00C92408">
        <w:rPr>
          <w:rFonts w:ascii="Calibri" w:hAnsi="Calibri"/>
          <w:i/>
          <w:sz w:val="22"/>
          <w:szCs w:val="22"/>
        </w:rPr>
        <w:t>Jacobs Engineering Group, Inc. v. ConAgra Foods, Inc</w:t>
      </w:r>
      <w:r w:rsidR="007E3A0F">
        <w:rPr>
          <w:rFonts w:ascii="Calibri" w:hAnsi="Calibri"/>
          <w:sz w:val="22"/>
          <w:szCs w:val="22"/>
        </w:rPr>
        <w:t>., 917 N.W.2d 435 (Neb. 2018), the court held that u</w:t>
      </w:r>
      <w:r w:rsidR="007E3A0F" w:rsidRPr="007E3A0F">
        <w:rPr>
          <w:rFonts w:ascii="Calibri" w:hAnsi="Calibri"/>
          <w:sz w:val="22"/>
          <w:szCs w:val="22"/>
        </w:rPr>
        <w:t>nder the anti</w:t>
      </w:r>
      <w:r w:rsidR="007E3A0F">
        <w:rPr>
          <w:rFonts w:ascii="Calibri" w:hAnsi="Calibri"/>
          <w:sz w:val="22"/>
          <w:szCs w:val="22"/>
        </w:rPr>
        <w:t>-</w:t>
      </w:r>
      <w:r w:rsidR="007E3A0F" w:rsidRPr="007E3A0F">
        <w:rPr>
          <w:rFonts w:ascii="Calibri" w:hAnsi="Calibri"/>
          <w:sz w:val="22"/>
          <w:szCs w:val="22"/>
        </w:rPr>
        <w:t>subrogation rule, no right of </w:t>
      </w:r>
      <w:r w:rsidR="007E3A0F" w:rsidRPr="00C92408">
        <w:rPr>
          <w:rFonts w:ascii="Calibri" w:hAnsi="Calibri"/>
          <w:bCs/>
          <w:sz w:val="22"/>
          <w:szCs w:val="22"/>
        </w:rPr>
        <w:t>subrogation</w:t>
      </w:r>
      <w:r w:rsidR="007E3A0F" w:rsidRPr="007E3A0F">
        <w:rPr>
          <w:rFonts w:ascii="Calibri" w:hAnsi="Calibri"/>
          <w:sz w:val="22"/>
          <w:szCs w:val="22"/>
        </w:rPr>
        <w:t> can arise in favor of an insurer against its own insured or coinsured for a risk covered by the policy, even if the insured is a negligent wrongdoer</w:t>
      </w:r>
      <w:r w:rsidR="007E3A0F">
        <w:rPr>
          <w:rFonts w:ascii="Calibri" w:hAnsi="Calibri"/>
          <w:sz w:val="22"/>
          <w:szCs w:val="22"/>
        </w:rPr>
        <w:t xml:space="preserve">. </w:t>
      </w:r>
      <w:r w:rsidR="00A5316F">
        <w:rPr>
          <w:rFonts w:ascii="Calibri" w:hAnsi="Calibri"/>
          <w:sz w:val="22"/>
          <w:szCs w:val="22"/>
        </w:rPr>
        <w:t xml:space="preserve">Nebraska </w:t>
      </w:r>
      <w:r w:rsidR="00A5316F" w:rsidRPr="007829BC">
        <w:rPr>
          <w:rFonts w:ascii="Calibri" w:hAnsi="Calibri"/>
          <w:sz w:val="22"/>
          <w:szCs w:val="22"/>
        </w:rPr>
        <w:t>applies the ASR to cases which involve separate insureds under two separate policies.</w:t>
      </w:r>
      <w:r w:rsidR="00A5316F" w:rsidRPr="00A5316F">
        <w:rPr>
          <w:rFonts w:ascii="Calibri" w:hAnsi="Calibri"/>
          <w:sz w:val="22"/>
          <w:szCs w:val="22"/>
        </w:rPr>
        <w:t xml:space="preserve"> </w:t>
      </w:r>
      <w:r w:rsidR="00A5316F" w:rsidRPr="00A5316F">
        <w:rPr>
          <w:rFonts w:ascii="Calibri" w:hAnsi="Calibri"/>
          <w:i/>
          <w:iCs/>
          <w:sz w:val="22"/>
          <w:szCs w:val="22"/>
        </w:rPr>
        <w:t>Control Specialists Co., Inc. v. State Farm Mutual Automobile Insurance Co</w:t>
      </w:r>
      <w:r w:rsidR="00A5316F" w:rsidRPr="00A5316F">
        <w:rPr>
          <w:rFonts w:ascii="Calibri" w:hAnsi="Calibri"/>
          <w:sz w:val="22"/>
          <w:szCs w:val="22"/>
        </w:rPr>
        <w:t xml:space="preserve">., 423 N.W.2d 775 (Neb. 1988); </w:t>
      </w:r>
      <w:r w:rsidR="00A5316F" w:rsidRPr="00A5316F">
        <w:rPr>
          <w:rFonts w:ascii="Calibri" w:hAnsi="Calibri"/>
          <w:i/>
          <w:iCs/>
          <w:sz w:val="22"/>
          <w:szCs w:val="22"/>
        </w:rPr>
        <w:t>Stetina v. State Farm Mutual Automobile Insurance Co</w:t>
      </w:r>
      <w:r w:rsidR="00A5316F" w:rsidRPr="00A5316F">
        <w:rPr>
          <w:rFonts w:ascii="Calibri" w:hAnsi="Calibri"/>
          <w:sz w:val="22"/>
          <w:szCs w:val="22"/>
        </w:rPr>
        <w:t>., 243 N.W.2d 341 (Neb. 1976</w:t>
      </w:r>
      <w:r w:rsidR="00A5316F">
        <w:rPr>
          <w:rFonts w:ascii="Calibri" w:hAnsi="Calibri"/>
          <w:sz w:val="22"/>
          <w:szCs w:val="22"/>
        </w:rPr>
        <w:t xml:space="preserve">). </w:t>
      </w:r>
      <w:r w:rsidR="00A5316F" w:rsidRPr="00A5316F">
        <w:rPr>
          <w:rFonts w:ascii="Calibri" w:hAnsi="Calibri"/>
          <w:sz w:val="22"/>
          <w:szCs w:val="22"/>
        </w:rPr>
        <w:t xml:space="preserve">In </w:t>
      </w:r>
      <w:r w:rsidR="00A5316F" w:rsidRPr="00A5316F">
        <w:rPr>
          <w:rFonts w:ascii="Calibri" w:hAnsi="Calibri"/>
          <w:i/>
          <w:iCs/>
          <w:sz w:val="22"/>
          <w:szCs w:val="22"/>
        </w:rPr>
        <w:t>Control Specialists Co., Inc. v. State Farm Mutual Automobile Insurance Co</w:t>
      </w:r>
      <w:r w:rsidR="00A5316F" w:rsidRPr="00A5316F">
        <w:rPr>
          <w:rFonts w:ascii="Calibri" w:hAnsi="Calibri"/>
          <w:sz w:val="22"/>
          <w:szCs w:val="22"/>
        </w:rPr>
        <w:t xml:space="preserve">., the </w:t>
      </w:r>
      <w:r w:rsidR="00A5316F" w:rsidRPr="00A5316F">
        <w:rPr>
          <w:rFonts w:ascii="Calibri" w:hAnsi="Calibri"/>
          <w:b/>
          <w:bCs/>
          <w:sz w:val="22"/>
          <w:szCs w:val="22"/>
        </w:rPr>
        <w:t>Nebraska</w:t>
      </w:r>
      <w:r w:rsidR="00A5316F" w:rsidRPr="00A5316F">
        <w:rPr>
          <w:rFonts w:ascii="Calibri" w:hAnsi="Calibri"/>
          <w:sz w:val="22"/>
          <w:szCs w:val="22"/>
        </w:rPr>
        <w:t xml:space="preserve"> Supreme Court held that</w:t>
      </w:r>
    </w:p>
    <w:p w14:paraId="0E61E23E" w14:textId="77777777" w:rsidR="00A5316F" w:rsidRPr="00A5316F" w:rsidRDefault="00A5316F" w:rsidP="00B80AA2">
      <w:pPr>
        <w:spacing w:before="120" w:after="120"/>
        <w:ind w:left="288" w:right="288"/>
        <w:jc w:val="both"/>
        <w:rPr>
          <w:rFonts w:ascii="Calibri" w:hAnsi="Calibri"/>
          <w:i/>
          <w:iCs/>
          <w:sz w:val="22"/>
          <w:szCs w:val="22"/>
        </w:rPr>
      </w:pPr>
      <w:r w:rsidRPr="00A5316F">
        <w:rPr>
          <w:rFonts w:ascii="Calibri" w:hAnsi="Calibri"/>
          <w:i/>
          <w:iCs/>
          <w:sz w:val="22"/>
          <w:szCs w:val="22"/>
        </w:rPr>
        <w:t>“where two motor vehicles covered by the same insurance carrier collide, the nonnegligent driver may recover for damage to his vehicle under the negligent driver's liability insurance and again under the property damage clause of his own insurance policy unless the nonnegligent driver's policy limits such recovery.”</w:t>
      </w:r>
    </w:p>
    <w:p w14:paraId="0B96F769" w14:textId="1682C51D" w:rsidR="004125C1" w:rsidRPr="007F6B07" w:rsidRDefault="00A5316F" w:rsidP="007F6B07">
      <w:pPr>
        <w:spacing w:before="120" w:after="120"/>
        <w:jc w:val="both"/>
        <w:rPr>
          <w:rFonts w:ascii="Calibri" w:hAnsi="Calibri"/>
          <w:sz w:val="22"/>
          <w:szCs w:val="22"/>
        </w:rPr>
      </w:pPr>
      <w:r w:rsidRPr="00A5316F">
        <w:rPr>
          <w:rFonts w:ascii="Calibri" w:hAnsi="Calibri"/>
          <w:sz w:val="22"/>
          <w:szCs w:val="22"/>
        </w:rPr>
        <w:t>While it is unclear what provisions the non-negligent driver’s policy contained, the court in </w:t>
      </w:r>
      <w:r w:rsidRPr="00A5316F">
        <w:rPr>
          <w:rFonts w:ascii="Calibri" w:hAnsi="Calibri"/>
          <w:i/>
          <w:iCs/>
          <w:sz w:val="22"/>
          <w:szCs w:val="22"/>
        </w:rPr>
        <w:t>Control Specialists</w:t>
      </w:r>
      <w:r w:rsidRPr="00A5316F">
        <w:rPr>
          <w:rFonts w:ascii="Calibri" w:hAnsi="Calibri"/>
          <w:sz w:val="22"/>
          <w:szCs w:val="22"/>
        </w:rPr>
        <w:t> based its ruling on the principles set forth in </w:t>
      </w:r>
      <w:r w:rsidRPr="00A5316F">
        <w:rPr>
          <w:rFonts w:ascii="Calibri" w:hAnsi="Calibri"/>
          <w:i/>
          <w:iCs/>
          <w:sz w:val="22"/>
          <w:szCs w:val="22"/>
        </w:rPr>
        <w:t>Stetina v. State Farm Mutual Automobile Insurance Co.,</w:t>
      </w:r>
      <w:r w:rsidRPr="00A5316F">
        <w:rPr>
          <w:rFonts w:ascii="Calibri" w:hAnsi="Calibri"/>
          <w:sz w:val="22"/>
          <w:szCs w:val="22"/>
        </w:rPr>
        <w:t>  243 N.W.2d 341 (Neb. 1976) (Where same insurance company provided automobile liability policies to both parties involved in automobile accident, the ASR prohibits subrogati</w:t>
      </w:r>
      <w:r w:rsidR="00A439F3">
        <w:rPr>
          <w:rFonts w:ascii="Calibri" w:hAnsi="Calibri"/>
          <w:sz w:val="22"/>
          <w:szCs w:val="22"/>
        </w:rPr>
        <w:t>on</w:t>
      </w:r>
      <w:r w:rsidRPr="00A5316F">
        <w:rPr>
          <w:rFonts w:ascii="Calibri" w:hAnsi="Calibri"/>
          <w:sz w:val="22"/>
          <w:szCs w:val="22"/>
        </w:rPr>
        <w:t xml:space="preserve">). </w:t>
      </w:r>
    </w:p>
    <w:p w14:paraId="399E33E9" w14:textId="77777777" w:rsidR="007A5D52" w:rsidRPr="007F6B07" w:rsidRDefault="00935406" w:rsidP="0058744C">
      <w:pPr>
        <w:keepNext/>
        <w:spacing w:before="240" w:after="120"/>
        <w:rPr>
          <w:rFonts w:ascii="Calibri" w:hAnsi="Calibri"/>
          <w:color w:val="212121"/>
          <w:sz w:val="24"/>
          <w:szCs w:val="24"/>
        </w:rPr>
      </w:pPr>
      <w:r w:rsidRPr="008F013B">
        <w:rPr>
          <w:rFonts w:ascii="Calibri" w:hAnsi="Calibri"/>
          <w:b/>
          <w:color w:val="0F243E"/>
          <w:sz w:val="24"/>
          <w:szCs w:val="24"/>
          <w:u w:val="single"/>
        </w:rPr>
        <w:t>NEVADA</w:t>
      </w:r>
    </w:p>
    <w:p w14:paraId="053A5767" w14:textId="77777777" w:rsidR="002E08E9" w:rsidRPr="007F6B07" w:rsidRDefault="007A5D52" w:rsidP="007F6B07">
      <w:pPr>
        <w:spacing w:before="120" w:after="120"/>
        <w:jc w:val="both"/>
        <w:rPr>
          <w:rFonts w:ascii="Calibri" w:hAnsi="Calibri"/>
          <w:color w:val="212121"/>
          <w:sz w:val="22"/>
          <w:szCs w:val="22"/>
        </w:rPr>
      </w:pPr>
      <w:r w:rsidRPr="007F6B07">
        <w:rPr>
          <w:rFonts w:ascii="Calibri" w:hAnsi="Calibri"/>
          <w:color w:val="212121"/>
          <w:sz w:val="22"/>
          <w:szCs w:val="22"/>
        </w:rPr>
        <w:t xml:space="preserve">An insurer cannot subrogate against </w:t>
      </w:r>
      <w:r w:rsidR="00406E94">
        <w:rPr>
          <w:rFonts w:ascii="Calibri" w:hAnsi="Calibri"/>
          <w:color w:val="212121"/>
          <w:sz w:val="22"/>
          <w:szCs w:val="22"/>
        </w:rPr>
        <w:t>its</w:t>
      </w:r>
      <w:r w:rsidRPr="007F6B07">
        <w:rPr>
          <w:rFonts w:ascii="Calibri" w:hAnsi="Calibri"/>
          <w:color w:val="212121"/>
          <w:sz w:val="22"/>
          <w:szCs w:val="22"/>
        </w:rPr>
        <w:t xml:space="preserve"> own insured. </w:t>
      </w:r>
      <w:r w:rsidRPr="007F6B07">
        <w:rPr>
          <w:rFonts w:ascii="Calibri" w:hAnsi="Calibri"/>
          <w:i/>
          <w:color w:val="212121"/>
          <w:sz w:val="22"/>
          <w:szCs w:val="22"/>
        </w:rPr>
        <w:t>Harvey’s Wagon Wheel, Inc. v. MacSween</w:t>
      </w:r>
      <w:r w:rsidRPr="007F6B07">
        <w:rPr>
          <w:rFonts w:ascii="Calibri" w:hAnsi="Calibri"/>
          <w:color w:val="212121"/>
          <w:sz w:val="22"/>
          <w:szCs w:val="22"/>
        </w:rPr>
        <w:t>, 606 P.2d 1095 (</w:t>
      </w:r>
      <w:r w:rsidR="00B44EC4" w:rsidRPr="007F6B07">
        <w:rPr>
          <w:rFonts w:ascii="Calibri" w:hAnsi="Calibri"/>
          <w:color w:val="212121"/>
          <w:sz w:val="22"/>
          <w:szCs w:val="22"/>
        </w:rPr>
        <w:t xml:space="preserve">Nev. </w:t>
      </w:r>
      <w:r w:rsidR="007F6B07" w:rsidRPr="007F6B07">
        <w:rPr>
          <w:rFonts w:ascii="Calibri" w:hAnsi="Calibri"/>
          <w:color w:val="212121"/>
          <w:sz w:val="22"/>
          <w:szCs w:val="22"/>
        </w:rPr>
        <w:t xml:space="preserve">1980). </w:t>
      </w:r>
      <w:r w:rsidRPr="007F6B07">
        <w:rPr>
          <w:rFonts w:ascii="Calibri" w:hAnsi="Calibri"/>
          <w:color w:val="212121"/>
          <w:sz w:val="22"/>
          <w:szCs w:val="22"/>
        </w:rPr>
        <w:t>An insurer may not subrogate against a co</w:t>
      </w:r>
      <w:r w:rsidR="007F6B07" w:rsidRPr="007F6B07">
        <w:rPr>
          <w:rFonts w:ascii="Calibri" w:hAnsi="Calibri"/>
          <w:color w:val="212121"/>
          <w:sz w:val="22"/>
          <w:szCs w:val="22"/>
        </w:rPr>
        <w:t>-insured of its insured.</w:t>
      </w:r>
      <w:r w:rsidRPr="007F6B07">
        <w:rPr>
          <w:rFonts w:ascii="Calibri" w:hAnsi="Calibri"/>
          <w:color w:val="212121"/>
          <w:sz w:val="22"/>
          <w:szCs w:val="22"/>
        </w:rPr>
        <w:t xml:space="preserve"> </w:t>
      </w:r>
      <w:r w:rsidR="005E025A" w:rsidRPr="005E025A">
        <w:rPr>
          <w:rFonts w:ascii="Calibri" w:hAnsi="Calibri"/>
          <w:color w:val="212121"/>
          <w:sz w:val="22"/>
          <w:szCs w:val="22"/>
        </w:rPr>
        <w:t xml:space="preserve">While case law indicates that an insurer also may not subrogate against a “coinsured” of its insured, this is only the case when the very loss which is the subject of the subrogated policy is covered by a policy which names the “coinsured” as such. </w:t>
      </w:r>
      <w:r w:rsidR="007F6B07" w:rsidRPr="007F6B07">
        <w:rPr>
          <w:rFonts w:ascii="Calibri" w:hAnsi="Calibri"/>
          <w:i/>
          <w:color w:val="212121"/>
          <w:sz w:val="22"/>
          <w:szCs w:val="22"/>
        </w:rPr>
        <w:t>Lumbermen’</w:t>
      </w:r>
      <w:r w:rsidRPr="007F6B07">
        <w:rPr>
          <w:rFonts w:ascii="Calibri" w:hAnsi="Calibri"/>
          <w:i/>
          <w:color w:val="212121"/>
          <w:sz w:val="22"/>
          <w:szCs w:val="22"/>
        </w:rPr>
        <w:t>s Underwriting All. v. RCR Plumbing, Inc.</w:t>
      </w:r>
      <w:r w:rsidRPr="007F6B07">
        <w:rPr>
          <w:rFonts w:ascii="Calibri" w:hAnsi="Calibri"/>
          <w:color w:val="212121"/>
          <w:sz w:val="22"/>
          <w:szCs w:val="22"/>
        </w:rPr>
        <w:t>, 969 P.2d 301 (</w:t>
      </w:r>
      <w:r w:rsidR="00B44EC4" w:rsidRPr="007F6B07">
        <w:rPr>
          <w:rFonts w:ascii="Calibri" w:hAnsi="Calibri"/>
          <w:color w:val="212121"/>
          <w:sz w:val="22"/>
          <w:szCs w:val="22"/>
        </w:rPr>
        <w:t xml:space="preserve">Nev. </w:t>
      </w:r>
      <w:r w:rsidRPr="007F6B07">
        <w:rPr>
          <w:rFonts w:ascii="Calibri" w:hAnsi="Calibri"/>
          <w:color w:val="212121"/>
          <w:sz w:val="22"/>
          <w:szCs w:val="22"/>
        </w:rPr>
        <w:t>1998).</w:t>
      </w:r>
      <w:r w:rsidR="000F74ED">
        <w:rPr>
          <w:rFonts w:ascii="Calibri" w:hAnsi="Calibri"/>
          <w:color w:val="212121"/>
          <w:sz w:val="22"/>
          <w:szCs w:val="22"/>
        </w:rPr>
        <w:t xml:space="preserve"> </w:t>
      </w:r>
      <w:bookmarkStart w:id="0" w:name="_Hlk520882265"/>
    </w:p>
    <w:bookmarkEnd w:id="0"/>
    <w:p w14:paraId="2A37B128" w14:textId="77777777" w:rsidR="007F6B07" w:rsidRPr="008F013B" w:rsidRDefault="00935406" w:rsidP="007F6B07">
      <w:pPr>
        <w:spacing w:before="240" w:after="120"/>
        <w:rPr>
          <w:rFonts w:ascii="Calibri" w:hAnsi="Calibri"/>
          <w:b/>
          <w:color w:val="0F243E"/>
          <w:sz w:val="24"/>
          <w:szCs w:val="24"/>
        </w:rPr>
      </w:pPr>
      <w:r w:rsidRPr="008F013B">
        <w:rPr>
          <w:rFonts w:ascii="Calibri" w:hAnsi="Calibri"/>
          <w:b/>
          <w:color w:val="0F243E"/>
          <w:sz w:val="24"/>
          <w:szCs w:val="24"/>
          <w:u w:val="single"/>
        </w:rPr>
        <w:t>NEW HAMPSHIRE</w:t>
      </w:r>
    </w:p>
    <w:p w14:paraId="359421D9" w14:textId="0A1BB65E" w:rsidR="006318A0" w:rsidRPr="007F6B07" w:rsidRDefault="000F38A4" w:rsidP="007F6B07">
      <w:pPr>
        <w:spacing w:before="120" w:after="120"/>
        <w:jc w:val="both"/>
        <w:rPr>
          <w:rFonts w:ascii="Calibri" w:hAnsi="Calibri"/>
          <w:b/>
          <w:sz w:val="22"/>
          <w:szCs w:val="22"/>
        </w:rPr>
      </w:pPr>
      <w:bookmarkStart w:id="1" w:name="_Hlk123641586"/>
      <w:r>
        <w:rPr>
          <w:rFonts w:ascii="Calibri" w:hAnsi="Calibri"/>
          <w:sz w:val="22"/>
          <w:szCs w:val="22"/>
        </w:rPr>
        <w:t xml:space="preserve">New Hampshire does not have any cases directly discussing the application of the anti-subrogation rule with regard to general insurance subrogation. </w:t>
      </w:r>
      <w:r w:rsidR="00955192" w:rsidRPr="007F6B07">
        <w:rPr>
          <w:rFonts w:ascii="Calibri" w:hAnsi="Calibri"/>
          <w:sz w:val="22"/>
          <w:szCs w:val="22"/>
        </w:rPr>
        <w:t xml:space="preserve">Under the </w:t>
      </w:r>
      <w:r w:rsidR="00955192" w:rsidRPr="007F6B07">
        <w:rPr>
          <w:rFonts w:ascii="Calibri" w:hAnsi="Calibri"/>
          <w:i/>
          <w:sz w:val="22"/>
          <w:szCs w:val="22"/>
        </w:rPr>
        <w:t>Sutton</w:t>
      </w:r>
      <w:r w:rsidR="00955192" w:rsidRPr="007F6B07">
        <w:rPr>
          <w:rFonts w:ascii="Calibri" w:hAnsi="Calibri"/>
          <w:sz w:val="22"/>
          <w:szCs w:val="22"/>
        </w:rPr>
        <w:t xml:space="preserve"> </w:t>
      </w:r>
      <w:r w:rsidR="007F6B07" w:rsidRPr="007F6B07">
        <w:rPr>
          <w:rFonts w:ascii="Calibri" w:hAnsi="Calibri"/>
          <w:sz w:val="22"/>
          <w:szCs w:val="22"/>
        </w:rPr>
        <w:t>rule</w:t>
      </w:r>
      <w:r w:rsidR="00955192" w:rsidRPr="007F6B07">
        <w:rPr>
          <w:rFonts w:ascii="Calibri" w:hAnsi="Calibri"/>
          <w:sz w:val="22"/>
          <w:szCs w:val="22"/>
        </w:rPr>
        <w:t>,</w:t>
      </w:r>
      <w:r w:rsidR="007F6B07" w:rsidRPr="007F6B07">
        <w:rPr>
          <w:rFonts w:ascii="Calibri" w:hAnsi="Calibri"/>
          <w:sz w:val="22"/>
          <w:szCs w:val="22"/>
        </w:rPr>
        <w:t xml:space="preserve"> </w:t>
      </w:r>
      <w:r>
        <w:rPr>
          <w:rFonts w:ascii="Calibri" w:hAnsi="Calibri"/>
          <w:sz w:val="22"/>
          <w:szCs w:val="22"/>
        </w:rPr>
        <w:t xml:space="preserve">however, </w:t>
      </w:r>
      <w:r w:rsidR="007F6B07" w:rsidRPr="007F6B07">
        <w:rPr>
          <w:rFonts w:ascii="Calibri" w:hAnsi="Calibri"/>
          <w:sz w:val="22"/>
          <w:szCs w:val="22"/>
        </w:rPr>
        <w:t>a</w:t>
      </w:r>
      <w:r w:rsidR="00955192" w:rsidRPr="007F6B07">
        <w:rPr>
          <w:rFonts w:ascii="Calibri" w:hAnsi="Calibri"/>
          <w:sz w:val="22"/>
          <w:szCs w:val="22"/>
        </w:rPr>
        <w:t xml:space="preserve"> tenant </w:t>
      </w:r>
      <w:r>
        <w:rPr>
          <w:rFonts w:ascii="Calibri" w:hAnsi="Calibri"/>
          <w:sz w:val="22"/>
          <w:szCs w:val="22"/>
        </w:rPr>
        <w:t>i</w:t>
      </w:r>
      <w:r w:rsidR="00955192" w:rsidRPr="007F6B07">
        <w:rPr>
          <w:rFonts w:ascii="Calibri" w:hAnsi="Calibri"/>
          <w:sz w:val="22"/>
          <w:szCs w:val="22"/>
        </w:rPr>
        <w:t>s considered a co</w:t>
      </w:r>
      <w:r w:rsidR="007F6B07" w:rsidRPr="007F6B07">
        <w:rPr>
          <w:rFonts w:ascii="Calibri" w:hAnsi="Calibri"/>
          <w:sz w:val="22"/>
          <w:szCs w:val="22"/>
        </w:rPr>
        <w:t>-</w:t>
      </w:r>
      <w:r w:rsidR="00955192" w:rsidRPr="007F6B07">
        <w:rPr>
          <w:rFonts w:ascii="Calibri" w:hAnsi="Calibri"/>
          <w:sz w:val="22"/>
          <w:szCs w:val="22"/>
        </w:rPr>
        <w:t xml:space="preserve">insured of </w:t>
      </w:r>
      <w:r w:rsidR="007F6B07" w:rsidRPr="007F6B07">
        <w:rPr>
          <w:rFonts w:ascii="Calibri" w:hAnsi="Calibri"/>
          <w:sz w:val="22"/>
          <w:szCs w:val="22"/>
        </w:rPr>
        <w:t xml:space="preserve">the </w:t>
      </w:r>
      <w:r w:rsidR="00955192" w:rsidRPr="007F6B07">
        <w:rPr>
          <w:rFonts w:ascii="Calibri" w:hAnsi="Calibri"/>
          <w:sz w:val="22"/>
          <w:szCs w:val="22"/>
        </w:rPr>
        <w:t xml:space="preserve">landlords with respect to fire damage to </w:t>
      </w:r>
      <w:r w:rsidR="007F6B07" w:rsidRPr="007F6B07">
        <w:rPr>
          <w:rFonts w:ascii="Calibri" w:hAnsi="Calibri"/>
          <w:sz w:val="22"/>
          <w:szCs w:val="22"/>
        </w:rPr>
        <w:t xml:space="preserve">the </w:t>
      </w:r>
      <w:r w:rsidR="00955192" w:rsidRPr="007F6B07">
        <w:rPr>
          <w:rFonts w:ascii="Calibri" w:hAnsi="Calibri"/>
          <w:sz w:val="22"/>
          <w:szCs w:val="22"/>
        </w:rPr>
        <w:t xml:space="preserve">leased residential premises and, thus, </w:t>
      </w:r>
      <w:r w:rsidR="007F6B07" w:rsidRPr="007F6B07">
        <w:rPr>
          <w:rFonts w:ascii="Calibri" w:hAnsi="Calibri"/>
          <w:sz w:val="22"/>
          <w:szCs w:val="22"/>
        </w:rPr>
        <w:t xml:space="preserve">the </w:t>
      </w:r>
      <w:r w:rsidR="00955192" w:rsidRPr="007F6B07">
        <w:rPr>
          <w:rFonts w:ascii="Calibri" w:hAnsi="Calibri"/>
          <w:sz w:val="22"/>
          <w:szCs w:val="22"/>
        </w:rPr>
        <w:t xml:space="preserve">insurer had no right of subrogation against tenant whose negligence caused </w:t>
      </w:r>
      <w:r w:rsidR="007F6B07" w:rsidRPr="007F6B07">
        <w:rPr>
          <w:rFonts w:ascii="Calibri" w:hAnsi="Calibri"/>
          <w:sz w:val="22"/>
          <w:szCs w:val="22"/>
        </w:rPr>
        <w:t xml:space="preserve">the </w:t>
      </w:r>
      <w:r w:rsidR="00955192" w:rsidRPr="007F6B07">
        <w:rPr>
          <w:rFonts w:ascii="Calibri" w:hAnsi="Calibri"/>
          <w:sz w:val="22"/>
          <w:szCs w:val="22"/>
        </w:rPr>
        <w:t>fire damage</w:t>
      </w:r>
      <w:r w:rsidR="00BC335E" w:rsidRPr="007F6B07">
        <w:rPr>
          <w:rFonts w:ascii="Calibri" w:hAnsi="Calibri"/>
          <w:sz w:val="22"/>
          <w:szCs w:val="22"/>
        </w:rPr>
        <w:t>.</w:t>
      </w:r>
      <w:r w:rsidR="00406E94">
        <w:rPr>
          <w:rFonts w:ascii="Calibri" w:hAnsi="Calibri"/>
          <w:sz w:val="22"/>
          <w:szCs w:val="22"/>
        </w:rPr>
        <w:t xml:space="preserve"> </w:t>
      </w:r>
      <w:r w:rsidR="00955192" w:rsidRPr="007F6B07">
        <w:rPr>
          <w:rFonts w:ascii="Calibri" w:hAnsi="Calibri"/>
          <w:i/>
          <w:sz w:val="22"/>
          <w:szCs w:val="22"/>
        </w:rPr>
        <w:t>Cambridge Mut. Fire Ins. Co. v. Crete</w:t>
      </w:r>
      <w:r w:rsidR="00955192" w:rsidRPr="007F6B07">
        <w:rPr>
          <w:rFonts w:ascii="Calibri" w:hAnsi="Calibri"/>
          <w:sz w:val="22"/>
          <w:szCs w:val="22"/>
        </w:rPr>
        <w:t>, 846 A.2d 521 (N.H. 2004).</w:t>
      </w:r>
    </w:p>
    <w:bookmarkEnd w:id="1"/>
    <w:p w14:paraId="0EE36544" w14:textId="77777777" w:rsidR="00A2641C" w:rsidRPr="008F013B" w:rsidRDefault="00935406" w:rsidP="001B7490">
      <w:pPr>
        <w:keepNext/>
        <w:spacing w:before="240" w:after="120"/>
        <w:rPr>
          <w:rFonts w:ascii="Calibri" w:hAnsi="Calibri" w:cs="Times New Roman"/>
          <w:color w:val="0F243E"/>
          <w:sz w:val="24"/>
          <w:szCs w:val="24"/>
        </w:rPr>
      </w:pPr>
      <w:r w:rsidRPr="008F013B">
        <w:rPr>
          <w:rFonts w:ascii="Calibri" w:hAnsi="Calibri"/>
          <w:b/>
          <w:color w:val="0F243E"/>
          <w:sz w:val="24"/>
          <w:szCs w:val="24"/>
          <w:u w:val="single"/>
        </w:rPr>
        <w:t>NEW JERSEY</w:t>
      </w:r>
    </w:p>
    <w:p w14:paraId="44B0969A" w14:textId="45F30CDA" w:rsidR="006318A0" w:rsidRPr="009B750A" w:rsidRDefault="007A5D52" w:rsidP="009B750A">
      <w:pPr>
        <w:spacing w:before="120" w:after="120"/>
        <w:jc w:val="both"/>
        <w:rPr>
          <w:rFonts w:ascii="Calibri" w:hAnsi="Calibri" w:cs="Times New Roman"/>
          <w:sz w:val="22"/>
          <w:szCs w:val="22"/>
        </w:rPr>
      </w:pPr>
      <w:r w:rsidRPr="009B750A">
        <w:rPr>
          <w:rFonts w:ascii="Calibri" w:hAnsi="Calibri" w:cs="Times New Roman"/>
          <w:sz w:val="22"/>
          <w:szCs w:val="22"/>
        </w:rPr>
        <w:t xml:space="preserve">New Jersey courts have generally followed the </w:t>
      </w:r>
      <w:r w:rsidR="007F6B07" w:rsidRPr="009B750A">
        <w:rPr>
          <w:rFonts w:ascii="Calibri" w:hAnsi="Calibri" w:cs="Times New Roman"/>
          <w:sz w:val="22"/>
          <w:szCs w:val="22"/>
        </w:rPr>
        <w:t>ASR</w:t>
      </w:r>
      <w:r w:rsidRPr="009B750A">
        <w:rPr>
          <w:rFonts w:ascii="Calibri" w:hAnsi="Calibri" w:cs="Times New Roman"/>
          <w:sz w:val="22"/>
          <w:szCs w:val="22"/>
        </w:rPr>
        <w:t xml:space="preserve"> with one limited exception in cases involving an insured’s criminal wrongdoing. </w:t>
      </w:r>
      <w:r w:rsidRPr="00406E94">
        <w:rPr>
          <w:rFonts w:ascii="Calibri" w:hAnsi="Calibri" w:cs="Times New Roman"/>
          <w:iCs/>
          <w:sz w:val="22"/>
          <w:szCs w:val="22"/>
          <w:u w:val="single"/>
        </w:rPr>
        <w:t>See</w:t>
      </w:r>
      <w:r w:rsidRPr="009B750A">
        <w:rPr>
          <w:rFonts w:ascii="Calibri" w:hAnsi="Calibri" w:cs="Times New Roman"/>
          <w:i/>
          <w:iCs/>
          <w:sz w:val="22"/>
          <w:szCs w:val="22"/>
        </w:rPr>
        <w:t xml:space="preserve"> Ambassador Ins. Co. v. Montes,</w:t>
      </w:r>
      <w:r w:rsidRPr="009B750A">
        <w:rPr>
          <w:rFonts w:ascii="Calibri" w:hAnsi="Calibri" w:cs="Times New Roman"/>
          <w:sz w:val="22"/>
          <w:szCs w:val="22"/>
        </w:rPr>
        <w:t xml:space="preserve"> </w:t>
      </w:r>
      <w:r w:rsidR="00E90805" w:rsidRPr="009B750A">
        <w:rPr>
          <w:rFonts w:ascii="Calibri" w:hAnsi="Calibri"/>
          <w:sz w:val="22"/>
          <w:szCs w:val="22"/>
        </w:rPr>
        <w:t xml:space="preserve">388 A.2d 603 </w:t>
      </w:r>
      <w:r w:rsidRPr="009B750A">
        <w:rPr>
          <w:rFonts w:ascii="Calibri" w:hAnsi="Calibri" w:cs="Times New Roman"/>
          <w:sz w:val="22"/>
          <w:szCs w:val="22"/>
        </w:rPr>
        <w:t>(</w:t>
      </w:r>
      <w:r w:rsidR="00E90805" w:rsidRPr="009B750A">
        <w:rPr>
          <w:rFonts w:ascii="Calibri" w:hAnsi="Calibri" w:cs="Times New Roman"/>
          <w:sz w:val="22"/>
          <w:szCs w:val="22"/>
        </w:rPr>
        <w:t xml:space="preserve">N.J. </w:t>
      </w:r>
      <w:r w:rsidRPr="009B750A">
        <w:rPr>
          <w:rFonts w:ascii="Calibri" w:hAnsi="Calibri" w:cs="Times New Roman"/>
          <w:sz w:val="22"/>
          <w:szCs w:val="22"/>
        </w:rPr>
        <w:t xml:space="preserve">1978) (holding that in the case of an insurer, who pays an innocent party monetary damages due to liability of the insured ascribable to a criminal event, it is usually equitable that the insurer be indemnified by the insured). </w:t>
      </w:r>
      <w:r w:rsidR="00B44EC4" w:rsidRPr="009B750A">
        <w:rPr>
          <w:rFonts w:ascii="Calibri" w:hAnsi="Calibri" w:cs="Times New Roman"/>
          <w:sz w:val="22"/>
          <w:szCs w:val="22"/>
        </w:rPr>
        <w:t>An insurer cannot s</w:t>
      </w:r>
      <w:r w:rsidR="00E90805" w:rsidRPr="009B750A">
        <w:rPr>
          <w:rFonts w:ascii="Calibri" w:hAnsi="Calibri" w:cs="Times New Roman"/>
          <w:sz w:val="22"/>
          <w:szCs w:val="22"/>
        </w:rPr>
        <w:t>ubrogate against a co-insured</w:t>
      </w:r>
      <w:r w:rsidRPr="009B750A">
        <w:rPr>
          <w:rFonts w:ascii="Calibri" w:hAnsi="Calibri" w:cs="Times New Roman"/>
          <w:sz w:val="22"/>
          <w:szCs w:val="22"/>
        </w:rPr>
        <w:t xml:space="preserve">. </w:t>
      </w:r>
      <w:proofErr w:type="spellStart"/>
      <w:r w:rsidRPr="009B750A">
        <w:rPr>
          <w:rFonts w:ascii="Calibri" w:hAnsi="Calibri" w:cs="Times New Roman"/>
          <w:i/>
          <w:sz w:val="22"/>
          <w:szCs w:val="22"/>
        </w:rPr>
        <w:t>Guideone</w:t>
      </w:r>
      <w:proofErr w:type="spellEnd"/>
      <w:r w:rsidRPr="009B750A">
        <w:rPr>
          <w:rFonts w:ascii="Calibri" w:hAnsi="Calibri" w:cs="Times New Roman"/>
          <w:i/>
          <w:sz w:val="22"/>
          <w:szCs w:val="22"/>
        </w:rPr>
        <w:t xml:space="preserve"> Mut. Ins. Co. v. Comito</w:t>
      </w:r>
      <w:r w:rsidRPr="009B750A">
        <w:rPr>
          <w:rFonts w:ascii="Calibri" w:hAnsi="Calibri" w:cs="Times New Roman"/>
          <w:sz w:val="22"/>
          <w:szCs w:val="22"/>
        </w:rPr>
        <w:t xml:space="preserve">, </w:t>
      </w:r>
      <w:r w:rsidR="00E90805" w:rsidRPr="009B750A">
        <w:rPr>
          <w:rFonts w:ascii="Calibri" w:hAnsi="Calibri" w:cs="Times New Roman"/>
          <w:sz w:val="22"/>
          <w:szCs w:val="22"/>
        </w:rPr>
        <w:t xml:space="preserve">2007 WL 3170127 </w:t>
      </w:r>
      <w:r w:rsidRPr="009B750A">
        <w:rPr>
          <w:rFonts w:ascii="Calibri" w:hAnsi="Calibri" w:cs="Times New Roman"/>
          <w:sz w:val="22"/>
          <w:szCs w:val="22"/>
        </w:rPr>
        <w:t>(N.J. Super. Ct. App. Div. 2007).</w:t>
      </w:r>
      <w:r w:rsidR="007F6B07" w:rsidRPr="009B750A">
        <w:rPr>
          <w:rFonts w:ascii="Calibri" w:hAnsi="Calibri" w:cs="Times New Roman"/>
          <w:sz w:val="22"/>
          <w:szCs w:val="22"/>
        </w:rPr>
        <w:t xml:space="preserve"> Under N.J.S.A. § </w:t>
      </w:r>
      <w:r w:rsidRPr="009B750A">
        <w:rPr>
          <w:rFonts w:ascii="Calibri" w:hAnsi="Calibri" w:cs="Times New Roman"/>
          <w:sz w:val="22"/>
          <w:szCs w:val="22"/>
        </w:rPr>
        <w:t xml:space="preserve">39:6B-1, an auto dealer has no obligation to provide collision insurance for permissive test drivers therefore, unless the policy states otherwise, the permissive test driver is not an insured for damages to the vehicle and subrogation is permissible for physical damage to the </w:t>
      </w:r>
      <w:r w:rsidR="008315C9" w:rsidRPr="009B750A">
        <w:rPr>
          <w:rFonts w:ascii="Calibri" w:hAnsi="Calibri" w:cs="Times New Roman"/>
          <w:sz w:val="22"/>
          <w:szCs w:val="22"/>
        </w:rPr>
        <w:t>test-driven</w:t>
      </w:r>
      <w:r w:rsidRPr="009B750A">
        <w:rPr>
          <w:rFonts w:ascii="Calibri" w:hAnsi="Calibri" w:cs="Times New Roman"/>
          <w:sz w:val="22"/>
          <w:szCs w:val="22"/>
        </w:rPr>
        <w:t xml:space="preserve"> vehicle. </w:t>
      </w:r>
      <w:r w:rsidRPr="009B750A">
        <w:rPr>
          <w:rFonts w:ascii="Calibri" w:hAnsi="Calibri" w:cs="Times New Roman"/>
          <w:i/>
          <w:sz w:val="22"/>
          <w:szCs w:val="22"/>
        </w:rPr>
        <w:t>Universal Underwriters Group v. Heibel</w:t>
      </w:r>
      <w:r w:rsidRPr="009B750A">
        <w:rPr>
          <w:rFonts w:ascii="Calibri" w:hAnsi="Calibri" w:cs="Times New Roman"/>
          <w:sz w:val="22"/>
          <w:szCs w:val="22"/>
        </w:rPr>
        <w:t>, 901 A.2d 398 (</w:t>
      </w:r>
      <w:r w:rsidR="00B44EC4" w:rsidRPr="009B750A">
        <w:rPr>
          <w:rFonts w:ascii="Calibri" w:hAnsi="Calibri" w:cs="Times New Roman"/>
          <w:sz w:val="22"/>
          <w:szCs w:val="22"/>
        </w:rPr>
        <w:t xml:space="preserve">N.J. Super. Ct. App. Div. </w:t>
      </w:r>
      <w:r w:rsidRPr="009B750A">
        <w:rPr>
          <w:rFonts w:ascii="Calibri" w:hAnsi="Calibri" w:cs="Times New Roman"/>
          <w:sz w:val="22"/>
          <w:szCs w:val="22"/>
        </w:rPr>
        <w:t>2006). However, if an accident results in injury to an innoc</w:t>
      </w:r>
      <w:r w:rsidR="009B750A" w:rsidRPr="009B750A">
        <w:rPr>
          <w:rFonts w:ascii="Calibri" w:hAnsi="Calibri" w:cs="Times New Roman"/>
          <w:sz w:val="22"/>
          <w:szCs w:val="22"/>
        </w:rPr>
        <w:t xml:space="preserve">ent third party, under N.J.S.A. § </w:t>
      </w:r>
      <w:r w:rsidRPr="009B750A">
        <w:rPr>
          <w:rFonts w:ascii="Calibri" w:hAnsi="Calibri" w:cs="Times New Roman"/>
          <w:sz w:val="22"/>
          <w:szCs w:val="22"/>
        </w:rPr>
        <w:t xml:space="preserve">39:6B-1, the vehicle owner’s liability insurance covers the test driver for injuries to that third party, preventing subrogation for those injuries. </w:t>
      </w:r>
      <w:r w:rsidRPr="00406E94">
        <w:rPr>
          <w:rFonts w:ascii="Calibri" w:hAnsi="Calibri" w:cs="Times New Roman"/>
          <w:sz w:val="22"/>
          <w:szCs w:val="22"/>
          <w:u w:val="single"/>
        </w:rPr>
        <w:t>See</w:t>
      </w:r>
      <w:r w:rsidRPr="009B750A">
        <w:rPr>
          <w:rFonts w:ascii="Calibri" w:hAnsi="Calibri" w:cs="Times New Roman"/>
          <w:sz w:val="22"/>
          <w:szCs w:val="22"/>
        </w:rPr>
        <w:t xml:space="preserve"> </w:t>
      </w:r>
      <w:r w:rsidR="009B750A" w:rsidRPr="009B750A">
        <w:rPr>
          <w:rFonts w:ascii="Calibri" w:hAnsi="Calibri" w:cs="Times New Roman"/>
          <w:i/>
          <w:sz w:val="22"/>
          <w:szCs w:val="22"/>
        </w:rPr>
        <w:t>I</w:t>
      </w:r>
      <w:r w:rsidRPr="009B750A">
        <w:rPr>
          <w:rFonts w:ascii="Calibri" w:hAnsi="Calibri" w:cs="Times New Roman"/>
          <w:i/>
          <w:sz w:val="22"/>
          <w:szCs w:val="22"/>
        </w:rPr>
        <w:t>d</w:t>
      </w:r>
      <w:r w:rsidRPr="009B750A">
        <w:rPr>
          <w:rFonts w:ascii="Calibri" w:hAnsi="Calibri" w:cs="Times New Roman"/>
          <w:sz w:val="22"/>
          <w:szCs w:val="22"/>
        </w:rPr>
        <w:t xml:space="preserve">. </w:t>
      </w:r>
      <w:r w:rsidR="009B750A" w:rsidRPr="009B750A">
        <w:rPr>
          <w:rFonts w:ascii="Calibri" w:hAnsi="Calibri" w:cs="Times New Roman"/>
          <w:sz w:val="22"/>
          <w:szCs w:val="22"/>
        </w:rPr>
        <w:t xml:space="preserve">In </w:t>
      </w:r>
      <w:r w:rsidRPr="009B750A">
        <w:rPr>
          <w:rFonts w:ascii="Calibri" w:hAnsi="Calibri" w:cs="Times New Roman"/>
          <w:i/>
          <w:sz w:val="22"/>
          <w:szCs w:val="22"/>
        </w:rPr>
        <w:t>Heibe</w:t>
      </w:r>
      <w:r w:rsidR="00332F69" w:rsidRPr="009B750A">
        <w:rPr>
          <w:rFonts w:ascii="Calibri" w:hAnsi="Calibri" w:cs="Times New Roman"/>
          <w:i/>
          <w:sz w:val="22"/>
          <w:szCs w:val="22"/>
        </w:rPr>
        <w:t>l</w:t>
      </w:r>
      <w:r w:rsidRPr="009B750A">
        <w:rPr>
          <w:rFonts w:ascii="Calibri" w:hAnsi="Calibri" w:cs="Times New Roman"/>
          <w:sz w:val="22"/>
          <w:szCs w:val="22"/>
        </w:rPr>
        <w:t>, Heibel lost control of a motorcycle whil</w:t>
      </w:r>
      <w:r w:rsidR="009B750A" w:rsidRPr="009B750A">
        <w:rPr>
          <w:rFonts w:ascii="Calibri" w:hAnsi="Calibri" w:cs="Times New Roman"/>
          <w:sz w:val="22"/>
          <w:szCs w:val="22"/>
        </w:rPr>
        <w:t xml:space="preserve">e test driving it and crashed. </w:t>
      </w:r>
      <w:r w:rsidRPr="009B750A">
        <w:rPr>
          <w:rFonts w:ascii="Calibri" w:hAnsi="Calibri" w:cs="Times New Roman"/>
          <w:sz w:val="22"/>
          <w:szCs w:val="22"/>
        </w:rPr>
        <w:t>Universal Underwriters Group (</w:t>
      </w:r>
      <w:r w:rsidR="006A4B98">
        <w:rPr>
          <w:rFonts w:ascii="Calibri" w:hAnsi="Calibri" w:cs="Times New Roman"/>
          <w:sz w:val="22"/>
          <w:szCs w:val="22"/>
        </w:rPr>
        <w:t>“</w:t>
      </w:r>
      <w:r w:rsidRPr="009B750A">
        <w:rPr>
          <w:rFonts w:ascii="Calibri" w:hAnsi="Calibri" w:cs="Times New Roman"/>
          <w:sz w:val="22"/>
          <w:szCs w:val="22"/>
        </w:rPr>
        <w:t>Universal</w:t>
      </w:r>
      <w:r w:rsidR="006A4B98">
        <w:rPr>
          <w:rFonts w:ascii="Calibri" w:hAnsi="Calibri" w:cs="Times New Roman"/>
          <w:sz w:val="22"/>
          <w:szCs w:val="22"/>
        </w:rPr>
        <w:t>”</w:t>
      </w:r>
      <w:r w:rsidRPr="009B750A">
        <w:rPr>
          <w:rFonts w:ascii="Calibri" w:hAnsi="Calibri" w:cs="Times New Roman"/>
          <w:sz w:val="22"/>
          <w:szCs w:val="22"/>
        </w:rPr>
        <w:t xml:space="preserve">) paid the dealership for damages to the motorcycle and then sought to subrogate against Heibel for the damages to the motorcycle. </w:t>
      </w:r>
      <w:r w:rsidR="009B750A" w:rsidRPr="009B750A">
        <w:rPr>
          <w:rFonts w:ascii="Calibri" w:hAnsi="Calibri" w:cs="Times New Roman"/>
          <w:sz w:val="22"/>
          <w:szCs w:val="22"/>
        </w:rPr>
        <w:t>The c</w:t>
      </w:r>
      <w:r w:rsidRPr="009B750A">
        <w:rPr>
          <w:rFonts w:ascii="Calibri" w:hAnsi="Calibri" w:cs="Times New Roman"/>
          <w:sz w:val="22"/>
          <w:szCs w:val="22"/>
        </w:rPr>
        <w:t>ourt held that Universal’s policy itself did not make Heibel an insured for damages to</w:t>
      </w:r>
      <w:r w:rsidR="009B750A" w:rsidRPr="009B750A">
        <w:rPr>
          <w:rFonts w:ascii="Calibri" w:hAnsi="Calibri" w:cs="Times New Roman"/>
          <w:sz w:val="22"/>
          <w:szCs w:val="22"/>
        </w:rPr>
        <w:t xml:space="preserve"> the vehicle, and that N.J.S.A. § </w:t>
      </w:r>
      <w:r w:rsidRPr="009B750A">
        <w:rPr>
          <w:rFonts w:ascii="Calibri" w:hAnsi="Calibri" w:cs="Times New Roman"/>
          <w:sz w:val="22"/>
          <w:szCs w:val="22"/>
        </w:rPr>
        <w:t>39:6B-1 did not mandate that permitted test drivers be insured under a dealership’s policy for p</w:t>
      </w:r>
      <w:r w:rsidR="009B750A" w:rsidRPr="009B750A">
        <w:rPr>
          <w:rFonts w:ascii="Calibri" w:hAnsi="Calibri" w:cs="Times New Roman"/>
          <w:sz w:val="22"/>
          <w:szCs w:val="22"/>
        </w:rPr>
        <w:t xml:space="preserve">hysical damage to the vehicle. </w:t>
      </w:r>
      <w:r w:rsidRPr="009B750A">
        <w:rPr>
          <w:rFonts w:ascii="Calibri" w:hAnsi="Calibri" w:cs="Times New Roman"/>
          <w:sz w:val="22"/>
          <w:szCs w:val="22"/>
        </w:rPr>
        <w:t>Therefore, subrogation for physical damage to the vehicle was permissible.</w:t>
      </w:r>
      <w:r w:rsidR="00A444CA">
        <w:rPr>
          <w:rFonts w:ascii="Calibri" w:hAnsi="Calibri" w:cs="Times New Roman"/>
          <w:sz w:val="22"/>
          <w:szCs w:val="22"/>
        </w:rPr>
        <w:t xml:space="preserve"> In </w:t>
      </w:r>
      <w:r w:rsidR="00A444CA" w:rsidRPr="00C337F1">
        <w:rPr>
          <w:rFonts w:ascii="Calibri" w:hAnsi="Calibri" w:cs="Times New Roman"/>
          <w:i/>
          <w:sz w:val="22"/>
          <w:szCs w:val="22"/>
        </w:rPr>
        <w:t>Hanover Ins. Co. v. Mi-Jack Products, Inc</w:t>
      </w:r>
      <w:r w:rsidR="00A444CA">
        <w:rPr>
          <w:rFonts w:ascii="Calibri" w:hAnsi="Calibri" w:cs="Times New Roman"/>
          <w:sz w:val="22"/>
          <w:szCs w:val="22"/>
        </w:rPr>
        <w:t xml:space="preserve">., 2018 WL 4761579 (D. N.J. 2018), </w:t>
      </w:r>
      <w:r w:rsidR="00A444CA" w:rsidRPr="00A444CA">
        <w:rPr>
          <w:rFonts w:ascii="Calibri" w:hAnsi="Calibri" w:cs="Times New Roman"/>
          <w:sz w:val="22"/>
          <w:szCs w:val="22"/>
        </w:rPr>
        <w:t xml:space="preserve">Norfolk Southern filed an insurance claim with Hanover Insurance for </w:t>
      </w:r>
      <w:r w:rsidR="00A444CA">
        <w:rPr>
          <w:rFonts w:ascii="Calibri" w:hAnsi="Calibri" w:cs="Times New Roman"/>
          <w:sz w:val="22"/>
          <w:szCs w:val="22"/>
        </w:rPr>
        <w:t>d</w:t>
      </w:r>
      <w:r w:rsidR="00A444CA" w:rsidRPr="00A444CA">
        <w:rPr>
          <w:rFonts w:ascii="Calibri" w:hAnsi="Calibri" w:cs="Times New Roman"/>
          <w:sz w:val="22"/>
          <w:szCs w:val="22"/>
        </w:rPr>
        <w:t xml:space="preserve">amage </w:t>
      </w:r>
      <w:r w:rsidR="00A444CA">
        <w:rPr>
          <w:rFonts w:ascii="Calibri" w:hAnsi="Calibri" w:cs="Times New Roman"/>
          <w:sz w:val="22"/>
          <w:szCs w:val="22"/>
        </w:rPr>
        <w:t>to its</w:t>
      </w:r>
      <w:r w:rsidR="00A444CA" w:rsidRPr="00A444CA">
        <w:rPr>
          <w:rFonts w:ascii="Calibri" w:hAnsi="Calibri" w:cs="Times New Roman"/>
          <w:sz w:val="22"/>
          <w:szCs w:val="22"/>
        </w:rPr>
        <w:t xml:space="preserve"> lift truck. Hanover paid $408,100 to Norfolk Southern</w:t>
      </w:r>
      <w:r w:rsidR="00A444CA">
        <w:rPr>
          <w:rFonts w:ascii="Calibri" w:hAnsi="Calibri" w:cs="Times New Roman"/>
          <w:sz w:val="22"/>
          <w:szCs w:val="22"/>
        </w:rPr>
        <w:t xml:space="preserve">, which </w:t>
      </w:r>
      <w:r w:rsidR="00A444CA" w:rsidRPr="00A444CA">
        <w:rPr>
          <w:rFonts w:ascii="Calibri" w:hAnsi="Calibri" w:cs="Times New Roman"/>
          <w:sz w:val="22"/>
          <w:szCs w:val="22"/>
        </w:rPr>
        <w:t xml:space="preserve">then assigned Hanover all of its “claims, rights and demands against third-persons” related to the damage to the lift truck. </w:t>
      </w:r>
      <w:r w:rsidR="00A444CA">
        <w:rPr>
          <w:rFonts w:ascii="Calibri" w:hAnsi="Calibri" w:cs="Times New Roman"/>
          <w:sz w:val="22"/>
          <w:szCs w:val="22"/>
        </w:rPr>
        <w:t>Hanover filed a subrogation suit</w:t>
      </w:r>
      <w:r w:rsidR="00A444CA" w:rsidRPr="00A444CA">
        <w:rPr>
          <w:rFonts w:ascii="Calibri" w:hAnsi="Calibri" w:cs="Times New Roman"/>
          <w:sz w:val="22"/>
          <w:szCs w:val="22"/>
        </w:rPr>
        <w:t xml:space="preserve"> against Mi-Jack </w:t>
      </w:r>
      <w:r w:rsidR="00A444CA">
        <w:rPr>
          <w:rFonts w:ascii="Calibri" w:hAnsi="Calibri" w:cs="Times New Roman"/>
          <w:sz w:val="22"/>
          <w:szCs w:val="22"/>
        </w:rPr>
        <w:t>and</w:t>
      </w:r>
      <w:r w:rsidR="00A444CA" w:rsidRPr="00A444CA">
        <w:rPr>
          <w:rFonts w:ascii="Calibri" w:hAnsi="Calibri" w:cs="Times New Roman"/>
          <w:sz w:val="22"/>
          <w:szCs w:val="22"/>
        </w:rPr>
        <w:t xml:space="preserve"> Mi-Jack then filed a Third-Party Complaint against H&amp;M and others asserting claims for contribution and indemnification. Mi-Jack’s claims against H&amp;M assert that if H&amp;M’s negligence caused damage to the lift truck, H&amp;M would be contributorily liable for the monetary payments Mi-Jack would have to pay out if it is found liable</w:t>
      </w:r>
      <w:r w:rsidR="00A444CA">
        <w:rPr>
          <w:rFonts w:ascii="Calibri" w:hAnsi="Calibri" w:cs="Times New Roman"/>
          <w:sz w:val="22"/>
          <w:szCs w:val="22"/>
        </w:rPr>
        <w:t>. H&amp;</w:t>
      </w:r>
      <w:r w:rsidR="00A444CA" w:rsidRPr="00A444CA">
        <w:rPr>
          <w:rFonts w:ascii="Calibri" w:hAnsi="Calibri" w:cs="Times New Roman"/>
          <w:sz w:val="22"/>
          <w:szCs w:val="22"/>
        </w:rPr>
        <w:t xml:space="preserve">M </w:t>
      </w:r>
      <w:r w:rsidR="00A444CA">
        <w:rPr>
          <w:rFonts w:ascii="Calibri" w:hAnsi="Calibri" w:cs="Times New Roman"/>
          <w:sz w:val="22"/>
          <w:szCs w:val="22"/>
        </w:rPr>
        <w:t>argued</w:t>
      </w:r>
      <w:r w:rsidR="00A444CA" w:rsidRPr="00A444CA">
        <w:rPr>
          <w:rFonts w:ascii="Calibri" w:hAnsi="Calibri" w:cs="Times New Roman"/>
          <w:sz w:val="22"/>
          <w:szCs w:val="22"/>
        </w:rPr>
        <w:t xml:space="preserve"> that New Jersey’s “anti-subrogation</w:t>
      </w:r>
      <w:r w:rsidR="007953DC">
        <w:rPr>
          <w:rFonts w:ascii="Calibri" w:hAnsi="Calibri" w:cs="Times New Roman"/>
          <w:sz w:val="22"/>
          <w:szCs w:val="22"/>
        </w:rPr>
        <w:t xml:space="preserve"> </w:t>
      </w:r>
      <w:r w:rsidR="00A444CA" w:rsidRPr="00A444CA">
        <w:rPr>
          <w:rFonts w:ascii="Calibri" w:hAnsi="Calibri" w:cs="Times New Roman"/>
          <w:sz w:val="22"/>
          <w:szCs w:val="22"/>
        </w:rPr>
        <w:t>rule” bar</w:t>
      </w:r>
      <w:r w:rsidR="00A444CA">
        <w:rPr>
          <w:rFonts w:ascii="Calibri" w:hAnsi="Calibri" w:cs="Times New Roman"/>
          <w:sz w:val="22"/>
          <w:szCs w:val="22"/>
        </w:rPr>
        <w:t>red</w:t>
      </w:r>
      <w:r w:rsidR="00A444CA" w:rsidRPr="00A444CA">
        <w:rPr>
          <w:rFonts w:ascii="Calibri" w:hAnsi="Calibri" w:cs="Times New Roman"/>
          <w:sz w:val="22"/>
          <w:szCs w:val="22"/>
        </w:rPr>
        <w:t xml:space="preserve"> Hanover from asserting a “right of</w:t>
      </w:r>
      <w:r w:rsidR="007953DC">
        <w:rPr>
          <w:rFonts w:ascii="Calibri" w:hAnsi="Calibri" w:cs="Times New Roman"/>
          <w:sz w:val="22"/>
          <w:szCs w:val="22"/>
        </w:rPr>
        <w:t xml:space="preserve"> </w:t>
      </w:r>
      <w:r w:rsidR="00A444CA" w:rsidRPr="00A444CA">
        <w:rPr>
          <w:rFonts w:ascii="Calibri" w:hAnsi="Calibri" w:cs="Times New Roman"/>
          <w:sz w:val="22"/>
          <w:szCs w:val="22"/>
        </w:rPr>
        <w:t>subrogation</w:t>
      </w:r>
      <w:r w:rsidR="007953DC">
        <w:rPr>
          <w:rFonts w:ascii="Calibri" w:hAnsi="Calibri" w:cs="Times New Roman"/>
          <w:sz w:val="22"/>
          <w:szCs w:val="22"/>
        </w:rPr>
        <w:t xml:space="preserve"> </w:t>
      </w:r>
      <w:r w:rsidR="00A444CA" w:rsidRPr="00A444CA">
        <w:rPr>
          <w:rFonts w:ascii="Calibri" w:hAnsi="Calibri" w:cs="Times New Roman"/>
          <w:sz w:val="22"/>
          <w:szCs w:val="22"/>
        </w:rPr>
        <w:t>against its own insured under the</w:t>
      </w:r>
      <w:r w:rsidR="007953DC">
        <w:rPr>
          <w:rFonts w:ascii="Calibri" w:hAnsi="Calibri" w:cs="Times New Roman"/>
          <w:sz w:val="22"/>
          <w:szCs w:val="22"/>
        </w:rPr>
        <w:t xml:space="preserve"> </w:t>
      </w:r>
      <w:r w:rsidR="00A444CA" w:rsidRPr="00A444CA">
        <w:rPr>
          <w:rFonts w:ascii="Calibri" w:hAnsi="Calibri" w:cs="Times New Roman"/>
          <w:sz w:val="22"/>
          <w:szCs w:val="22"/>
        </w:rPr>
        <w:t>subrogating</w:t>
      </w:r>
      <w:r w:rsidR="007953DC">
        <w:rPr>
          <w:rFonts w:ascii="Calibri" w:hAnsi="Calibri" w:cs="Times New Roman"/>
          <w:sz w:val="22"/>
          <w:szCs w:val="22"/>
        </w:rPr>
        <w:t xml:space="preserve"> </w:t>
      </w:r>
      <w:r w:rsidR="00A444CA" w:rsidRPr="00A444CA">
        <w:rPr>
          <w:rFonts w:ascii="Calibri" w:hAnsi="Calibri" w:cs="Times New Roman"/>
          <w:sz w:val="22"/>
          <w:szCs w:val="22"/>
        </w:rPr>
        <w:t>insurer’s policy</w:t>
      </w:r>
      <w:r w:rsidR="00A444CA">
        <w:rPr>
          <w:rFonts w:ascii="Calibri" w:hAnsi="Calibri" w:cs="Times New Roman"/>
          <w:sz w:val="22"/>
          <w:szCs w:val="22"/>
        </w:rPr>
        <w:t>.</w:t>
      </w:r>
      <w:r w:rsidR="00A444CA" w:rsidRPr="00A444CA">
        <w:rPr>
          <w:rFonts w:ascii="Calibri" w:hAnsi="Calibri" w:cs="Times New Roman"/>
          <w:sz w:val="22"/>
          <w:szCs w:val="22"/>
        </w:rPr>
        <w:t xml:space="preserve">” </w:t>
      </w:r>
      <w:r w:rsidR="00A444CA">
        <w:rPr>
          <w:rFonts w:ascii="Calibri" w:hAnsi="Calibri" w:cs="Times New Roman"/>
          <w:sz w:val="22"/>
          <w:szCs w:val="22"/>
        </w:rPr>
        <w:t>The court held that it could not say that H&amp;M</w:t>
      </w:r>
      <w:r w:rsidR="00A444CA" w:rsidRPr="00A444CA">
        <w:rPr>
          <w:rFonts w:ascii="Calibri" w:hAnsi="Calibri" w:cs="Times New Roman"/>
          <w:sz w:val="22"/>
          <w:szCs w:val="22"/>
        </w:rPr>
        <w:t xml:space="preserve">, by virtue of its contractual obligation to pay for the insurance policy, is an “insured,” “co-insured,” or “additional insured” under that policy. </w:t>
      </w:r>
    </w:p>
    <w:p w14:paraId="458E74ED" w14:textId="77777777" w:rsidR="00EA4498" w:rsidRPr="008F013B" w:rsidRDefault="00935406" w:rsidP="00C337F1">
      <w:pPr>
        <w:keepNext/>
        <w:spacing w:before="240" w:after="120"/>
        <w:rPr>
          <w:rFonts w:ascii="Calibri" w:hAnsi="Calibri"/>
          <w:b/>
          <w:color w:val="0F243E"/>
          <w:sz w:val="24"/>
          <w:szCs w:val="24"/>
        </w:rPr>
      </w:pPr>
      <w:r w:rsidRPr="008F013B">
        <w:rPr>
          <w:rFonts w:ascii="Calibri" w:hAnsi="Calibri"/>
          <w:b/>
          <w:color w:val="0F243E"/>
          <w:sz w:val="24"/>
          <w:szCs w:val="24"/>
          <w:u w:val="single"/>
        </w:rPr>
        <w:t>NEW MEXICO</w:t>
      </w:r>
    </w:p>
    <w:p w14:paraId="05287FEB" w14:textId="77777777" w:rsidR="00C73A1B" w:rsidRPr="009B750A" w:rsidRDefault="00C73A1B" w:rsidP="00696E3D">
      <w:pPr>
        <w:spacing w:before="120" w:after="120"/>
        <w:jc w:val="both"/>
        <w:rPr>
          <w:rFonts w:ascii="Calibri" w:hAnsi="Calibri"/>
          <w:iCs/>
          <w:sz w:val="22"/>
          <w:szCs w:val="22"/>
        </w:rPr>
      </w:pPr>
      <w:r w:rsidRPr="009B750A">
        <w:rPr>
          <w:rFonts w:ascii="Calibri" w:hAnsi="Calibri"/>
          <w:iCs/>
          <w:sz w:val="22"/>
          <w:szCs w:val="22"/>
        </w:rPr>
        <w:t xml:space="preserve">An insurer may not subrogate against its own insured. </w:t>
      </w:r>
      <w:r w:rsidRPr="009B750A">
        <w:rPr>
          <w:rFonts w:ascii="Calibri" w:hAnsi="Calibri"/>
          <w:i/>
          <w:iCs/>
          <w:sz w:val="22"/>
          <w:szCs w:val="22"/>
        </w:rPr>
        <w:t xml:space="preserve">State ex rel. Regents of New Mexico State University v. </w:t>
      </w:r>
      <w:proofErr w:type="spellStart"/>
      <w:r w:rsidRPr="009B750A">
        <w:rPr>
          <w:rFonts w:ascii="Calibri" w:hAnsi="Calibri"/>
          <w:i/>
          <w:iCs/>
          <w:sz w:val="22"/>
          <w:szCs w:val="22"/>
        </w:rPr>
        <w:t>Siplast</w:t>
      </w:r>
      <w:proofErr w:type="spellEnd"/>
      <w:r w:rsidRPr="009B750A">
        <w:rPr>
          <w:rFonts w:ascii="Calibri" w:hAnsi="Calibri"/>
          <w:i/>
          <w:iCs/>
          <w:sz w:val="22"/>
          <w:szCs w:val="22"/>
        </w:rPr>
        <w:t>, Inc.</w:t>
      </w:r>
      <w:r w:rsidRPr="009B750A">
        <w:rPr>
          <w:rFonts w:ascii="Calibri" w:hAnsi="Calibri"/>
          <w:iCs/>
          <w:sz w:val="22"/>
          <w:szCs w:val="22"/>
        </w:rPr>
        <w:t>, 877 P.2d 38 (N.M. 1994). An insurer may not be subrogated against a contractor who is insured against damage to his own property under a builder</w:t>
      </w:r>
      <w:r w:rsidR="009B750A" w:rsidRPr="009B750A">
        <w:rPr>
          <w:rFonts w:ascii="Calibri" w:hAnsi="Calibri"/>
          <w:iCs/>
          <w:sz w:val="22"/>
          <w:szCs w:val="22"/>
        </w:rPr>
        <w:t>’</w:t>
      </w:r>
      <w:r w:rsidRPr="009B750A">
        <w:rPr>
          <w:rFonts w:ascii="Calibri" w:hAnsi="Calibri"/>
          <w:iCs/>
          <w:sz w:val="22"/>
          <w:szCs w:val="22"/>
        </w:rPr>
        <w:t>s risk policy, even though the subcontractor</w:t>
      </w:r>
      <w:r w:rsidR="009B750A" w:rsidRPr="009B750A">
        <w:rPr>
          <w:rFonts w:ascii="Calibri" w:hAnsi="Calibri"/>
          <w:iCs/>
          <w:sz w:val="22"/>
          <w:szCs w:val="22"/>
        </w:rPr>
        <w:t>’</w:t>
      </w:r>
      <w:r w:rsidRPr="009B750A">
        <w:rPr>
          <w:rFonts w:ascii="Calibri" w:hAnsi="Calibri"/>
          <w:iCs/>
          <w:sz w:val="22"/>
          <w:szCs w:val="22"/>
        </w:rPr>
        <w:t xml:space="preserve">s negligence may have resulted in a loss to another co-insured. </w:t>
      </w:r>
      <w:r w:rsidRPr="009B750A">
        <w:rPr>
          <w:rFonts w:ascii="Calibri" w:hAnsi="Calibri"/>
          <w:i/>
          <w:iCs/>
          <w:sz w:val="22"/>
          <w:szCs w:val="22"/>
        </w:rPr>
        <w:t>Id</w:t>
      </w:r>
      <w:r w:rsidRPr="009B750A">
        <w:rPr>
          <w:rFonts w:ascii="Calibri" w:hAnsi="Calibri"/>
          <w:iCs/>
          <w:sz w:val="22"/>
          <w:szCs w:val="22"/>
        </w:rPr>
        <w:t>. Where a builder</w:t>
      </w:r>
      <w:r w:rsidR="009B750A" w:rsidRPr="009B750A">
        <w:rPr>
          <w:rFonts w:ascii="Calibri" w:hAnsi="Calibri"/>
          <w:iCs/>
          <w:sz w:val="22"/>
          <w:szCs w:val="22"/>
        </w:rPr>
        <w:t>’</w:t>
      </w:r>
      <w:r w:rsidRPr="009B750A">
        <w:rPr>
          <w:rFonts w:ascii="Calibri" w:hAnsi="Calibri"/>
          <w:iCs/>
          <w:sz w:val="22"/>
          <w:szCs w:val="22"/>
        </w:rPr>
        <w:t xml:space="preserve">s risk insurance policy was issued to a general contractor to protect against losses to a structure under construction, and the insurer, pursuant to such policy, compensated the general contractor for a loss allegedly caused by the negligence of a subcontractor, the insurer could bring a subrogation action against the subcontractor if the subcontractor is not an insured on the policy. </w:t>
      </w:r>
      <w:r w:rsidRPr="009B750A">
        <w:rPr>
          <w:rFonts w:ascii="Calibri" w:hAnsi="Calibri"/>
          <w:i/>
          <w:iCs/>
          <w:sz w:val="22"/>
          <w:szCs w:val="22"/>
        </w:rPr>
        <w:t>Great American Ins. Co. of New York v. Western States Fire Protection Co.</w:t>
      </w:r>
      <w:r w:rsidR="009B750A" w:rsidRPr="009B750A">
        <w:rPr>
          <w:rFonts w:ascii="Calibri" w:hAnsi="Calibri"/>
          <w:iCs/>
          <w:sz w:val="22"/>
          <w:szCs w:val="22"/>
        </w:rPr>
        <w:t>, 730 F.Supp.</w:t>
      </w:r>
      <w:r w:rsidRPr="009B750A">
        <w:rPr>
          <w:rFonts w:ascii="Calibri" w:hAnsi="Calibri"/>
          <w:iCs/>
          <w:sz w:val="22"/>
          <w:szCs w:val="22"/>
        </w:rPr>
        <w:t>2d 1308 (D.</w:t>
      </w:r>
      <w:r w:rsidR="009B750A" w:rsidRPr="009B750A">
        <w:rPr>
          <w:rFonts w:ascii="Calibri" w:hAnsi="Calibri"/>
          <w:iCs/>
          <w:sz w:val="22"/>
          <w:szCs w:val="22"/>
        </w:rPr>
        <w:t xml:space="preserve"> </w:t>
      </w:r>
      <w:r w:rsidRPr="009B750A">
        <w:rPr>
          <w:rFonts w:ascii="Calibri" w:hAnsi="Calibri"/>
          <w:iCs/>
          <w:sz w:val="22"/>
          <w:szCs w:val="22"/>
        </w:rPr>
        <w:t xml:space="preserve">N.M. 2009). Subcontractor was not co-insured under commercial insurance policy issued to general contractor on </w:t>
      </w:r>
      <w:r w:rsidR="009B750A" w:rsidRPr="009B750A">
        <w:rPr>
          <w:rFonts w:ascii="Calibri" w:hAnsi="Calibri"/>
          <w:iCs/>
          <w:sz w:val="22"/>
          <w:szCs w:val="22"/>
        </w:rPr>
        <w:t xml:space="preserve">a </w:t>
      </w:r>
      <w:r w:rsidRPr="009B750A">
        <w:rPr>
          <w:rFonts w:ascii="Calibri" w:hAnsi="Calibri"/>
          <w:iCs/>
          <w:sz w:val="22"/>
          <w:szCs w:val="22"/>
        </w:rPr>
        <w:t xml:space="preserve">project at </w:t>
      </w:r>
      <w:r w:rsidR="009B750A" w:rsidRPr="009B750A">
        <w:rPr>
          <w:rFonts w:ascii="Calibri" w:hAnsi="Calibri"/>
          <w:iCs/>
          <w:sz w:val="22"/>
          <w:szCs w:val="22"/>
        </w:rPr>
        <w:t xml:space="preserve">a </w:t>
      </w:r>
      <w:r w:rsidRPr="009B750A">
        <w:rPr>
          <w:rFonts w:ascii="Calibri" w:hAnsi="Calibri"/>
          <w:iCs/>
          <w:sz w:val="22"/>
          <w:szCs w:val="22"/>
        </w:rPr>
        <w:t xml:space="preserve">public university, and thus insurer was not barred, as subrogee of general contractor, from seeking subrogation from subcontractor for damages </w:t>
      </w:r>
      <w:r w:rsidR="009B750A" w:rsidRPr="009B750A">
        <w:rPr>
          <w:rFonts w:ascii="Calibri" w:hAnsi="Calibri"/>
          <w:iCs/>
          <w:sz w:val="22"/>
          <w:szCs w:val="22"/>
        </w:rPr>
        <w:t xml:space="preserve">the </w:t>
      </w:r>
      <w:r w:rsidRPr="009B750A">
        <w:rPr>
          <w:rFonts w:ascii="Calibri" w:hAnsi="Calibri"/>
          <w:iCs/>
          <w:sz w:val="22"/>
          <w:szCs w:val="22"/>
        </w:rPr>
        <w:t>insurer paid and which alle</w:t>
      </w:r>
      <w:r w:rsidR="009B750A" w:rsidRPr="009B750A">
        <w:rPr>
          <w:rFonts w:ascii="Calibri" w:hAnsi="Calibri"/>
          <w:iCs/>
          <w:sz w:val="22"/>
          <w:szCs w:val="22"/>
        </w:rPr>
        <w:t>gedly flowed from subcontractor’</w:t>
      </w:r>
      <w:r w:rsidRPr="009B750A">
        <w:rPr>
          <w:rFonts w:ascii="Calibri" w:hAnsi="Calibri"/>
          <w:iCs/>
          <w:sz w:val="22"/>
          <w:szCs w:val="22"/>
        </w:rPr>
        <w:t xml:space="preserve">s negligence; </w:t>
      </w:r>
      <w:r w:rsidR="00367F8B" w:rsidRPr="009B750A">
        <w:rPr>
          <w:rFonts w:ascii="Calibri" w:hAnsi="Calibri"/>
          <w:iCs/>
          <w:sz w:val="22"/>
          <w:szCs w:val="22"/>
        </w:rPr>
        <w:t xml:space="preserve">the </w:t>
      </w:r>
      <w:r w:rsidRPr="009B750A">
        <w:rPr>
          <w:rFonts w:ascii="Calibri" w:hAnsi="Calibri"/>
          <w:iCs/>
          <w:sz w:val="22"/>
          <w:szCs w:val="22"/>
        </w:rPr>
        <w:t>policy</w:t>
      </w:r>
      <w:r w:rsidR="00367F8B" w:rsidRPr="009B750A">
        <w:rPr>
          <w:rFonts w:ascii="Calibri" w:hAnsi="Calibri"/>
          <w:iCs/>
          <w:sz w:val="22"/>
          <w:szCs w:val="22"/>
        </w:rPr>
        <w:t xml:space="preserve"> at issue</w:t>
      </w:r>
      <w:r w:rsidRPr="009B750A">
        <w:rPr>
          <w:rFonts w:ascii="Calibri" w:hAnsi="Calibri"/>
          <w:iCs/>
          <w:sz w:val="22"/>
          <w:szCs w:val="22"/>
        </w:rPr>
        <w:t xml:space="preserve"> contained no provision for coverage of subcontractors and listed only </w:t>
      </w:r>
      <w:r w:rsidR="009B750A" w:rsidRPr="009B750A">
        <w:rPr>
          <w:rFonts w:ascii="Calibri" w:hAnsi="Calibri"/>
          <w:iCs/>
          <w:sz w:val="22"/>
          <w:szCs w:val="22"/>
        </w:rPr>
        <w:t xml:space="preserve">the </w:t>
      </w:r>
      <w:r w:rsidRPr="009B750A">
        <w:rPr>
          <w:rFonts w:ascii="Calibri" w:hAnsi="Calibri"/>
          <w:iCs/>
          <w:sz w:val="22"/>
          <w:szCs w:val="22"/>
        </w:rPr>
        <w:t>general contractor as</w:t>
      </w:r>
      <w:r w:rsidR="009B750A" w:rsidRPr="009B750A">
        <w:rPr>
          <w:rFonts w:ascii="Calibri" w:hAnsi="Calibri"/>
          <w:iCs/>
          <w:sz w:val="22"/>
          <w:szCs w:val="22"/>
        </w:rPr>
        <w:t xml:space="preserve"> an</w:t>
      </w:r>
      <w:r w:rsidRPr="009B750A">
        <w:rPr>
          <w:rFonts w:ascii="Calibri" w:hAnsi="Calibri"/>
          <w:iCs/>
          <w:sz w:val="22"/>
          <w:szCs w:val="22"/>
        </w:rPr>
        <w:t xml:space="preserve"> insured. </w:t>
      </w:r>
      <w:r w:rsidRPr="009B750A">
        <w:rPr>
          <w:rFonts w:ascii="Calibri" w:hAnsi="Calibri"/>
          <w:i/>
          <w:iCs/>
          <w:sz w:val="22"/>
          <w:szCs w:val="22"/>
        </w:rPr>
        <w:t>Id</w:t>
      </w:r>
      <w:r w:rsidRPr="009B750A">
        <w:rPr>
          <w:rFonts w:ascii="Calibri" w:hAnsi="Calibri"/>
          <w:iCs/>
          <w:sz w:val="22"/>
          <w:szCs w:val="22"/>
        </w:rPr>
        <w:t>.</w:t>
      </w:r>
    </w:p>
    <w:p w14:paraId="7DC00959" w14:textId="77777777" w:rsidR="003F5FF5" w:rsidRPr="008F013B" w:rsidRDefault="00935406" w:rsidP="009B750A">
      <w:pPr>
        <w:spacing w:before="240" w:after="120"/>
        <w:jc w:val="both"/>
        <w:rPr>
          <w:rFonts w:ascii="Calibri" w:hAnsi="Calibri"/>
          <w:b/>
          <w:color w:val="0F243E"/>
          <w:sz w:val="24"/>
          <w:szCs w:val="24"/>
        </w:rPr>
      </w:pPr>
      <w:r w:rsidRPr="008F013B">
        <w:rPr>
          <w:rFonts w:ascii="Calibri" w:hAnsi="Calibri"/>
          <w:b/>
          <w:color w:val="0F243E"/>
          <w:sz w:val="24"/>
          <w:szCs w:val="24"/>
          <w:u w:val="single"/>
        </w:rPr>
        <w:t>NEW YORK</w:t>
      </w:r>
    </w:p>
    <w:p w14:paraId="15935E1C" w14:textId="77777777" w:rsidR="00A760A1" w:rsidRDefault="009B750A" w:rsidP="006B223F">
      <w:pPr>
        <w:shd w:val="clear" w:color="auto" w:fill="FFFFFF"/>
        <w:autoSpaceDE/>
        <w:autoSpaceDN/>
        <w:adjustRightInd/>
        <w:spacing w:before="120" w:after="120"/>
        <w:jc w:val="both"/>
        <w:rPr>
          <w:rFonts w:ascii="Calibri" w:hAnsi="Calibri"/>
          <w:sz w:val="22"/>
          <w:szCs w:val="22"/>
        </w:rPr>
      </w:pPr>
      <w:r w:rsidRPr="006F2DA1">
        <w:rPr>
          <w:rFonts w:ascii="Calibri" w:hAnsi="Calibri"/>
          <w:sz w:val="22"/>
          <w:szCs w:val="22"/>
        </w:rPr>
        <w:t>New York’</w:t>
      </w:r>
      <w:r w:rsidR="00752EB4" w:rsidRPr="006F2DA1">
        <w:rPr>
          <w:rFonts w:ascii="Calibri" w:hAnsi="Calibri"/>
          <w:sz w:val="22"/>
          <w:szCs w:val="22"/>
        </w:rPr>
        <w:t xml:space="preserve">s </w:t>
      </w:r>
      <w:smartTag w:uri="urn:schemas-microsoft-com:office:smarttags" w:element="stockticker">
        <w:r w:rsidR="00752EB4" w:rsidRPr="006F2DA1">
          <w:rPr>
            <w:rFonts w:ascii="Calibri" w:hAnsi="Calibri"/>
            <w:sz w:val="22"/>
            <w:szCs w:val="22"/>
          </w:rPr>
          <w:t>ASR</w:t>
        </w:r>
      </w:smartTag>
      <w:r w:rsidR="00752EB4" w:rsidRPr="006F2DA1">
        <w:rPr>
          <w:rFonts w:ascii="Calibri" w:hAnsi="Calibri"/>
          <w:sz w:val="22"/>
          <w:szCs w:val="22"/>
        </w:rPr>
        <w:t xml:space="preserve"> is found in common law and is not </w:t>
      </w:r>
      <w:r w:rsidR="00DC3743" w:rsidRPr="006F2DA1">
        <w:rPr>
          <w:rFonts w:ascii="Calibri" w:hAnsi="Calibri"/>
          <w:sz w:val="22"/>
          <w:szCs w:val="22"/>
        </w:rPr>
        <w:t>statutorily based</w:t>
      </w:r>
      <w:r w:rsidR="00752EB4" w:rsidRPr="006F2DA1">
        <w:rPr>
          <w:rFonts w:ascii="Calibri" w:hAnsi="Calibri"/>
          <w:sz w:val="22"/>
          <w:szCs w:val="22"/>
        </w:rPr>
        <w:t xml:space="preserve">. </w:t>
      </w:r>
      <w:r w:rsidR="00070C45" w:rsidRPr="00070C45">
        <w:rPr>
          <w:rFonts w:ascii="Calibri" w:hAnsi="Calibri"/>
          <w:sz w:val="22"/>
          <w:szCs w:val="22"/>
        </w:rPr>
        <w:t xml:space="preserve">The </w:t>
      </w:r>
      <w:r w:rsidR="00070C45">
        <w:rPr>
          <w:rFonts w:ascii="Calibri" w:hAnsi="Calibri"/>
          <w:sz w:val="22"/>
          <w:szCs w:val="22"/>
        </w:rPr>
        <w:t>ASR</w:t>
      </w:r>
      <w:r w:rsidR="00070C45" w:rsidRPr="00070C45">
        <w:rPr>
          <w:rFonts w:ascii="Calibri" w:hAnsi="Calibri"/>
          <w:sz w:val="22"/>
          <w:szCs w:val="22"/>
        </w:rPr>
        <w:t xml:space="preserve"> is a common-law doctrine crafted by the New York Court of Appeals </w:t>
      </w:r>
      <w:r w:rsidR="00070C45">
        <w:rPr>
          <w:rFonts w:ascii="Calibri" w:hAnsi="Calibri"/>
          <w:sz w:val="22"/>
          <w:szCs w:val="22"/>
        </w:rPr>
        <w:t>“</w:t>
      </w:r>
      <w:r w:rsidR="00070C45" w:rsidRPr="00070C45">
        <w:rPr>
          <w:rFonts w:ascii="Calibri" w:hAnsi="Calibri"/>
          <w:sz w:val="22"/>
          <w:szCs w:val="22"/>
        </w:rPr>
        <w:t>both to prevent the insurer from passing the incidence of loss to its own insured and to guard against the potential for conflict of interest that may affect the insurer</w:t>
      </w:r>
      <w:r w:rsidR="00B43D06">
        <w:rPr>
          <w:rFonts w:ascii="Calibri" w:hAnsi="Calibri"/>
          <w:sz w:val="22"/>
          <w:szCs w:val="22"/>
        </w:rPr>
        <w:t>’</w:t>
      </w:r>
      <w:r w:rsidR="00070C45" w:rsidRPr="00070C45">
        <w:rPr>
          <w:rFonts w:ascii="Calibri" w:hAnsi="Calibri"/>
          <w:sz w:val="22"/>
          <w:szCs w:val="22"/>
        </w:rPr>
        <w:t xml:space="preserve">s incentive to provide a vigorous defense for its insured.” </w:t>
      </w:r>
      <w:r w:rsidR="00070C45" w:rsidRPr="00B43D06">
        <w:rPr>
          <w:rFonts w:ascii="Calibri" w:hAnsi="Calibri"/>
          <w:i/>
          <w:iCs/>
          <w:sz w:val="22"/>
          <w:szCs w:val="22"/>
        </w:rPr>
        <w:t xml:space="preserve">ACE Am. Ins. Co. v. Am. Guarantee &amp; </w:t>
      </w:r>
      <w:proofErr w:type="spellStart"/>
      <w:r w:rsidR="00070C45" w:rsidRPr="00B43D06">
        <w:rPr>
          <w:rFonts w:ascii="Calibri" w:hAnsi="Calibri"/>
          <w:i/>
          <w:iCs/>
          <w:sz w:val="22"/>
          <w:szCs w:val="22"/>
        </w:rPr>
        <w:t>Liab</w:t>
      </w:r>
      <w:proofErr w:type="spellEnd"/>
      <w:r w:rsidR="00070C45" w:rsidRPr="00B43D06">
        <w:rPr>
          <w:rFonts w:ascii="Calibri" w:hAnsi="Calibri"/>
          <w:i/>
          <w:iCs/>
          <w:sz w:val="22"/>
          <w:szCs w:val="22"/>
        </w:rPr>
        <w:t>. Ins. Co</w:t>
      </w:r>
      <w:r w:rsidR="00070C45" w:rsidRPr="00070C45">
        <w:rPr>
          <w:rFonts w:ascii="Calibri" w:hAnsi="Calibri"/>
          <w:sz w:val="22"/>
          <w:szCs w:val="22"/>
        </w:rPr>
        <w:t xml:space="preserve">., 257 F. Supp. 3d 596 (S.D.N.Y. 2017) (quoting </w:t>
      </w:r>
      <w:r w:rsidR="00070C45" w:rsidRPr="00B43D06">
        <w:rPr>
          <w:rFonts w:ascii="Calibri" w:hAnsi="Calibri"/>
          <w:i/>
          <w:iCs/>
          <w:sz w:val="22"/>
          <w:szCs w:val="22"/>
        </w:rPr>
        <w:t>N. Star Reins. Corp</w:t>
      </w:r>
      <w:r w:rsidR="00070C45" w:rsidRPr="00070C45">
        <w:rPr>
          <w:rFonts w:ascii="Calibri" w:hAnsi="Calibri"/>
          <w:sz w:val="22"/>
          <w:szCs w:val="22"/>
        </w:rPr>
        <w:t xml:space="preserve">., 82 N.Y.2d at 294–95). The </w:t>
      </w:r>
      <w:r w:rsidR="00070C45">
        <w:rPr>
          <w:rFonts w:ascii="Calibri" w:hAnsi="Calibri"/>
          <w:sz w:val="22"/>
          <w:szCs w:val="22"/>
        </w:rPr>
        <w:t>ASR</w:t>
      </w:r>
      <w:r w:rsidR="00070C45" w:rsidRPr="00070C45">
        <w:rPr>
          <w:rFonts w:ascii="Calibri" w:hAnsi="Calibri"/>
          <w:sz w:val="22"/>
          <w:szCs w:val="22"/>
        </w:rPr>
        <w:t xml:space="preserve"> primarily applies in circumstances where an insurer seeks to recover from its insured for “the same risk covered by its policy.” </w:t>
      </w:r>
      <w:r w:rsidR="00070C45" w:rsidRPr="00B43D06">
        <w:rPr>
          <w:rFonts w:ascii="Calibri" w:hAnsi="Calibri"/>
          <w:i/>
          <w:iCs/>
          <w:sz w:val="22"/>
          <w:szCs w:val="22"/>
        </w:rPr>
        <w:t>Arch Ins. Co. v. Harleysville Worcester Ins. Co</w:t>
      </w:r>
      <w:r w:rsidR="00070C45" w:rsidRPr="00070C45">
        <w:rPr>
          <w:rFonts w:ascii="Calibri" w:hAnsi="Calibri"/>
          <w:sz w:val="22"/>
          <w:szCs w:val="22"/>
        </w:rPr>
        <w:t xml:space="preserve">., 56 F. Supp. 3d 576 (S.D.N.Y. 2014) (quoting </w:t>
      </w:r>
      <w:r w:rsidR="00070C45" w:rsidRPr="00B43D06">
        <w:rPr>
          <w:rFonts w:ascii="Calibri" w:hAnsi="Calibri"/>
          <w:i/>
          <w:iCs/>
          <w:sz w:val="22"/>
          <w:szCs w:val="22"/>
        </w:rPr>
        <w:t>ELRAC, Inc</w:t>
      </w:r>
      <w:r w:rsidR="00070C45" w:rsidRPr="00070C45">
        <w:rPr>
          <w:rFonts w:ascii="Calibri" w:hAnsi="Calibri"/>
          <w:sz w:val="22"/>
          <w:szCs w:val="22"/>
        </w:rPr>
        <w:t>., 96 N.Y.2d at 75) (emphasis in original). “The essential element of the anti</w:t>
      </w:r>
      <w:r w:rsidR="00070C45">
        <w:rPr>
          <w:rFonts w:ascii="Calibri" w:hAnsi="Calibri"/>
          <w:sz w:val="22"/>
          <w:szCs w:val="22"/>
        </w:rPr>
        <w:t>-</w:t>
      </w:r>
      <w:r w:rsidR="00070C45" w:rsidRPr="00070C45">
        <w:rPr>
          <w:rFonts w:ascii="Calibri" w:hAnsi="Calibri"/>
          <w:sz w:val="22"/>
          <w:szCs w:val="22"/>
        </w:rPr>
        <w:t xml:space="preserve">subrogation rule is that the party to which the insurer seeks to subrogate is covered by the relevant insurance policy.” </w:t>
      </w:r>
      <w:r w:rsidR="00070C45" w:rsidRPr="00B43D06">
        <w:rPr>
          <w:rFonts w:ascii="Calibri" w:hAnsi="Calibri"/>
          <w:i/>
          <w:iCs/>
          <w:sz w:val="22"/>
          <w:szCs w:val="22"/>
        </w:rPr>
        <w:t>Millennium Holdings LLC v. Glidden Co</w:t>
      </w:r>
      <w:r w:rsidR="00070C45" w:rsidRPr="00070C45">
        <w:rPr>
          <w:rFonts w:ascii="Calibri" w:hAnsi="Calibri"/>
          <w:sz w:val="22"/>
          <w:szCs w:val="22"/>
        </w:rPr>
        <w:t xml:space="preserve">., 27 N.Y.3d 406 (2016). </w:t>
      </w:r>
      <w:r w:rsidR="00A760A1">
        <w:rPr>
          <w:rFonts w:ascii="Calibri" w:hAnsi="Calibri"/>
          <w:sz w:val="22"/>
          <w:szCs w:val="22"/>
        </w:rPr>
        <w:t xml:space="preserve">Phrased differently, the </w:t>
      </w:r>
      <w:r w:rsidR="00A760A1" w:rsidRPr="00A760A1">
        <w:rPr>
          <w:rFonts w:ascii="Calibri" w:hAnsi="Calibri"/>
          <w:sz w:val="22"/>
          <w:szCs w:val="22"/>
        </w:rPr>
        <w:t xml:space="preserve">essence of the anti-subrogation rule </w:t>
      </w:r>
      <w:r w:rsidR="00A760A1">
        <w:rPr>
          <w:rFonts w:ascii="Calibri" w:hAnsi="Calibri"/>
          <w:sz w:val="22"/>
          <w:szCs w:val="22"/>
        </w:rPr>
        <w:t xml:space="preserve">in New York </w:t>
      </w:r>
      <w:r w:rsidR="00A760A1" w:rsidRPr="00A760A1">
        <w:rPr>
          <w:rFonts w:ascii="Calibri" w:hAnsi="Calibri"/>
          <w:sz w:val="22"/>
          <w:szCs w:val="22"/>
        </w:rPr>
        <w:t>is to prevent an insurer from seeking to recover from its insured payment on a loss for which the insured was covered under the policy</w:t>
      </w:r>
      <w:r w:rsidR="00A760A1">
        <w:rPr>
          <w:rFonts w:ascii="Calibri" w:hAnsi="Calibri"/>
          <w:sz w:val="22"/>
          <w:szCs w:val="22"/>
        </w:rPr>
        <w:t>:</w:t>
      </w:r>
    </w:p>
    <w:p w14:paraId="7522B23C" w14:textId="77777777" w:rsidR="00A760A1" w:rsidRDefault="00A760A1" w:rsidP="006B223F">
      <w:pPr>
        <w:shd w:val="clear" w:color="auto" w:fill="FFFFFF"/>
        <w:autoSpaceDE/>
        <w:autoSpaceDN/>
        <w:adjustRightInd/>
        <w:spacing w:before="120" w:after="120"/>
        <w:ind w:left="288" w:right="288"/>
        <w:jc w:val="both"/>
        <w:rPr>
          <w:rFonts w:ascii="Calibri" w:hAnsi="Calibri"/>
          <w:sz w:val="22"/>
          <w:szCs w:val="22"/>
        </w:rPr>
      </w:pPr>
      <w:r w:rsidRPr="006B223F">
        <w:rPr>
          <w:rFonts w:ascii="Calibri" w:hAnsi="Calibri"/>
          <w:i/>
          <w:iCs/>
          <w:sz w:val="22"/>
          <w:szCs w:val="22"/>
        </w:rPr>
        <w:t xml:space="preserve">It has often been said that an insurer may not be subrogated to a claim against its own insured, at least when the claim arises from an incident for which the insurer's policy covers that insured (see, e.g., Chrysler Leasing Corp. v. Public Administrator, 85 AD2d 410, 448 N.Y.S.2d 181; Beck v. </w:t>
      </w:r>
      <w:proofErr w:type="spellStart"/>
      <w:r w:rsidRPr="006B223F">
        <w:rPr>
          <w:rFonts w:ascii="Calibri" w:hAnsi="Calibri"/>
          <w:i/>
          <w:iCs/>
          <w:sz w:val="22"/>
          <w:szCs w:val="22"/>
        </w:rPr>
        <w:t>Renahan</w:t>
      </w:r>
      <w:proofErr w:type="spellEnd"/>
      <w:r w:rsidRPr="006B223F">
        <w:rPr>
          <w:rFonts w:ascii="Calibri" w:hAnsi="Calibri"/>
          <w:i/>
          <w:iCs/>
          <w:sz w:val="22"/>
          <w:szCs w:val="22"/>
        </w:rPr>
        <w:t xml:space="preserve">, 26 AD2d 990, 275 N.Y.S.2d 1010, </w:t>
      </w:r>
      <w:proofErr w:type="spellStart"/>
      <w:r w:rsidRPr="006B223F">
        <w:rPr>
          <w:rFonts w:ascii="Calibri" w:hAnsi="Calibri"/>
          <w:i/>
          <w:iCs/>
          <w:sz w:val="22"/>
          <w:szCs w:val="22"/>
        </w:rPr>
        <w:t>affg</w:t>
      </w:r>
      <w:proofErr w:type="spellEnd"/>
      <w:r w:rsidRPr="006B223F">
        <w:rPr>
          <w:rFonts w:ascii="Calibri" w:hAnsi="Calibri"/>
          <w:i/>
          <w:iCs/>
          <w:sz w:val="22"/>
          <w:szCs w:val="22"/>
        </w:rPr>
        <w:t xml:space="preserve">. 46 Misc 2d 252, 259 N.Y.S.2d 768; 16 Couch, op. cit. §§ 61:133, 61:134; see also, Hartford Acc. &amp; </w:t>
      </w:r>
      <w:proofErr w:type="spellStart"/>
      <w:r w:rsidRPr="006B223F">
        <w:rPr>
          <w:rFonts w:ascii="Calibri" w:hAnsi="Calibri"/>
          <w:i/>
          <w:iCs/>
          <w:sz w:val="22"/>
          <w:szCs w:val="22"/>
        </w:rPr>
        <w:t>Indem</w:t>
      </w:r>
      <w:proofErr w:type="spellEnd"/>
      <w:r w:rsidRPr="006B223F">
        <w:rPr>
          <w:rFonts w:ascii="Calibri" w:hAnsi="Calibri"/>
          <w:i/>
          <w:iCs/>
          <w:sz w:val="22"/>
          <w:szCs w:val="22"/>
        </w:rPr>
        <w:t>. Co. v. Michigan Mut. Ins. Co., 61 NY2d 569, 475 N.Y.S.2d 267, 463 N.E.2d 608). Pennsylvania Gen. Ins. Co. v. Austin Powder Co</w:t>
      </w:r>
      <w:r w:rsidRPr="00A760A1">
        <w:rPr>
          <w:rFonts w:ascii="Calibri" w:hAnsi="Calibri"/>
          <w:sz w:val="22"/>
          <w:szCs w:val="22"/>
        </w:rPr>
        <w:t xml:space="preserve">., 68 NY2d 465, 471 </w:t>
      </w:r>
      <w:r>
        <w:rPr>
          <w:rFonts w:ascii="Calibri" w:hAnsi="Calibri"/>
          <w:sz w:val="22"/>
          <w:szCs w:val="22"/>
        </w:rPr>
        <w:t xml:space="preserve">(1986). </w:t>
      </w:r>
    </w:p>
    <w:p w14:paraId="221B14A4" w14:textId="0DCF669C" w:rsidR="00A760A1" w:rsidRDefault="00A760A1" w:rsidP="006B223F">
      <w:pPr>
        <w:shd w:val="clear" w:color="auto" w:fill="FFFFFF"/>
        <w:autoSpaceDE/>
        <w:autoSpaceDN/>
        <w:adjustRightInd/>
        <w:spacing w:before="120" w:after="120"/>
        <w:ind w:right="36"/>
        <w:jc w:val="both"/>
        <w:rPr>
          <w:rFonts w:ascii="Calibri" w:hAnsi="Calibri"/>
          <w:sz w:val="22"/>
          <w:szCs w:val="22"/>
        </w:rPr>
      </w:pPr>
      <w:r w:rsidRPr="006B223F">
        <w:rPr>
          <w:rFonts w:ascii="Calibri" w:hAnsi="Calibri" w:cs="Calibri"/>
          <w:color w:val="3D3D3D"/>
          <w:sz w:val="22"/>
          <w:szCs w:val="22"/>
        </w:rPr>
        <w:t>This anti</w:t>
      </w:r>
      <w:r>
        <w:rPr>
          <w:rFonts w:ascii="Calibri" w:hAnsi="Calibri" w:cs="Calibri"/>
          <w:color w:val="3D3D3D"/>
          <w:sz w:val="22"/>
          <w:szCs w:val="22"/>
        </w:rPr>
        <w:t>-</w:t>
      </w:r>
      <w:r w:rsidRPr="006B223F">
        <w:rPr>
          <w:rFonts w:ascii="Calibri" w:hAnsi="Calibri" w:cs="Calibri"/>
          <w:color w:val="3D3D3D"/>
          <w:sz w:val="22"/>
          <w:szCs w:val="22"/>
        </w:rPr>
        <w:t>subrogation rule—that an insurer cannot be a subrogee against its insured</w:t>
      </w:r>
      <w:r w:rsidR="005D578A">
        <w:rPr>
          <w:rFonts w:ascii="Calibri" w:hAnsi="Calibri" w:cs="Calibri"/>
          <w:color w:val="3D3D3D"/>
          <w:sz w:val="22"/>
          <w:szCs w:val="22"/>
        </w:rPr>
        <w:t xml:space="preserve"> </w:t>
      </w:r>
      <w:r w:rsidRPr="006B223F">
        <w:rPr>
          <w:rFonts w:ascii="Calibri" w:hAnsi="Calibri" w:cs="Calibri"/>
          <w:color w:val="3D3D3D"/>
          <w:sz w:val="22"/>
          <w:szCs w:val="22"/>
        </w:rPr>
        <w:t>on the very claim for which the insured was covered—is premised, in part, on the avoidance of a conflict of interest that would undercut the insurer</w:t>
      </w:r>
      <w:r w:rsidR="005D578A">
        <w:rPr>
          <w:rFonts w:ascii="Calibri" w:hAnsi="Calibri" w:cs="Calibri"/>
          <w:color w:val="3D3D3D"/>
          <w:sz w:val="22"/>
          <w:szCs w:val="22"/>
        </w:rPr>
        <w:t>’</w:t>
      </w:r>
      <w:r w:rsidRPr="006B223F">
        <w:rPr>
          <w:rFonts w:ascii="Calibri" w:hAnsi="Calibri" w:cs="Calibri"/>
          <w:color w:val="3D3D3D"/>
          <w:sz w:val="22"/>
          <w:szCs w:val="22"/>
        </w:rPr>
        <w:t>s incentive to provide an insured with a vigorous defense. Additionally, enforcement of the rule seeks to prohibit an insurer from passing its loss to its own insured.</w:t>
      </w:r>
      <w:r>
        <w:rPr>
          <w:rFonts w:ascii="Calibri" w:hAnsi="Calibri" w:cs="Calibri"/>
          <w:color w:val="3D3D3D"/>
          <w:sz w:val="22"/>
          <w:szCs w:val="22"/>
        </w:rPr>
        <w:t xml:space="preserve"> </w:t>
      </w:r>
      <w:r w:rsidRPr="00A760A1">
        <w:rPr>
          <w:rFonts w:ascii="Calibri" w:hAnsi="Calibri" w:cs="Calibri"/>
          <w:i/>
          <w:iCs/>
          <w:color w:val="3D3D3D"/>
          <w:sz w:val="22"/>
          <w:szCs w:val="22"/>
        </w:rPr>
        <w:t xml:space="preserve">Jefferson Ins. Co. of New York v. Travelers </w:t>
      </w:r>
      <w:proofErr w:type="spellStart"/>
      <w:r w:rsidRPr="00A760A1">
        <w:rPr>
          <w:rFonts w:ascii="Calibri" w:hAnsi="Calibri" w:cs="Calibri"/>
          <w:i/>
          <w:iCs/>
          <w:color w:val="3D3D3D"/>
          <w:sz w:val="22"/>
          <w:szCs w:val="22"/>
        </w:rPr>
        <w:t>Indem</w:t>
      </w:r>
      <w:proofErr w:type="spellEnd"/>
      <w:r w:rsidRPr="00A760A1">
        <w:rPr>
          <w:rFonts w:ascii="Calibri" w:hAnsi="Calibri" w:cs="Calibri"/>
          <w:i/>
          <w:iCs/>
          <w:color w:val="3D3D3D"/>
          <w:sz w:val="22"/>
          <w:szCs w:val="22"/>
        </w:rPr>
        <w:t>. Co.</w:t>
      </w:r>
      <w:r w:rsidRPr="00A760A1">
        <w:rPr>
          <w:rFonts w:ascii="Calibri" w:hAnsi="Calibri" w:cs="Calibri"/>
          <w:color w:val="3D3D3D"/>
          <w:sz w:val="22"/>
          <w:szCs w:val="22"/>
        </w:rPr>
        <w:t>, 703 N.E.2d 1221 (N.Y. 1998)</w:t>
      </w:r>
      <w:r>
        <w:rPr>
          <w:rFonts w:ascii="Calibri" w:hAnsi="Calibri" w:cs="Calibri"/>
          <w:color w:val="3D3D3D"/>
          <w:sz w:val="22"/>
          <w:szCs w:val="22"/>
        </w:rPr>
        <w:t xml:space="preserve">. </w:t>
      </w:r>
      <w:r w:rsidRPr="006B223F">
        <w:rPr>
          <w:rFonts w:ascii="Calibri" w:hAnsi="Calibri" w:cs="Calibri"/>
          <w:color w:val="3D3D3D"/>
          <w:sz w:val="22"/>
          <w:szCs w:val="22"/>
        </w:rPr>
        <w:t>However, the anti</w:t>
      </w:r>
      <w:r>
        <w:rPr>
          <w:rFonts w:ascii="Calibri" w:hAnsi="Calibri" w:cs="Calibri"/>
          <w:color w:val="3D3D3D"/>
          <w:sz w:val="22"/>
          <w:szCs w:val="22"/>
        </w:rPr>
        <w:t>-</w:t>
      </w:r>
      <w:r w:rsidRPr="006B223F">
        <w:rPr>
          <w:rFonts w:ascii="Calibri" w:hAnsi="Calibri" w:cs="Calibri"/>
          <w:color w:val="3D3D3D"/>
          <w:sz w:val="22"/>
          <w:szCs w:val="22"/>
        </w:rPr>
        <w:t>subrogation rule is an exception to the right of</w:t>
      </w:r>
      <w:r w:rsidR="005D578A">
        <w:rPr>
          <w:rFonts w:ascii="Calibri" w:hAnsi="Calibri" w:cs="Calibri"/>
          <w:color w:val="3D3D3D"/>
          <w:sz w:val="22"/>
          <w:szCs w:val="22"/>
        </w:rPr>
        <w:t xml:space="preserve"> </w:t>
      </w:r>
      <w:r w:rsidRPr="006B223F">
        <w:rPr>
          <w:rFonts w:ascii="Calibri" w:hAnsi="Calibri" w:cs="Calibri"/>
          <w:color w:val="3D3D3D"/>
          <w:sz w:val="22"/>
          <w:szCs w:val="22"/>
        </w:rPr>
        <w:t>subrogation</w:t>
      </w:r>
      <w:r>
        <w:rPr>
          <w:rFonts w:ascii="Calibri" w:hAnsi="Calibri" w:cs="Calibri"/>
          <w:color w:val="3D3D3D"/>
          <w:sz w:val="22"/>
          <w:szCs w:val="22"/>
        </w:rPr>
        <w:t xml:space="preserve">. </w:t>
      </w:r>
      <w:r w:rsidRPr="006B223F">
        <w:rPr>
          <w:rFonts w:ascii="Calibri" w:hAnsi="Calibri" w:cs="Calibri"/>
          <w:i/>
          <w:iCs/>
          <w:color w:val="3D3D3D"/>
          <w:sz w:val="22"/>
          <w:szCs w:val="22"/>
        </w:rPr>
        <w:t>Pennsylvania Gen. Ins. Co. v Austin Powder Co.,</w:t>
      </w:r>
      <w:r w:rsidRPr="006B223F">
        <w:rPr>
          <w:rFonts w:ascii="Calibri" w:hAnsi="Calibri" w:cs="Calibri"/>
          <w:color w:val="3D3D3D"/>
          <w:sz w:val="22"/>
          <w:szCs w:val="22"/>
        </w:rPr>
        <w:t xml:space="preserve"> 68 NY2d 465, 468</w:t>
      </w:r>
      <w:r>
        <w:rPr>
          <w:rFonts w:ascii="Calibri" w:hAnsi="Calibri" w:cs="Calibri"/>
          <w:color w:val="3D3D3D"/>
          <w:sz w:val="22"/>
          <w:szCs w:val="22"/>
        </w:rPr>
        <w:t xml:space="preserve"> (</w:t>
      </w:r>
      <w:r w:rsidRPr="006B223F">
        <w:rPr>
          <w:rFonts w:ascii="Calibri" w:hAnsi="Calibri" w:cs="Calibri"/>
          <w:color w:val="3D3D3D"/>
          <w:sz w:val="22"/>
          <w:szCs w:val="22"/>
        </w:rPr>
        <w:t>1986</w:t>
      </w:r>
      <w:r>
        <w:rPr>
          <w:rFonts w:ascii="Calibri" w:hAnsi="Calibri" w:cs="Calibri"/>
          <w:color w:val="3D3D3D"/>
          <w:sz w:val="22"/>
          <w:szCs w:val="22"/>
        </w:rPr>
        <w:t>)</w:t>
      </w:r>
      <w:r w:rsidRPr="006B223F">
        <w:rPr>
          <w:rFonts w:ascii="Calibri" w:hAnsi="Calibri" w:cs="Calibri"/>
          <w:color w:val="3D3D3D"/>
          <w:sz w:val="22"/>
          <w:szCs w:val="22"/>
        </w:rPr>
        <w:t xml:space="preserve">. </w:t>
      </w:r>
      <w:r>
        <w:rPr>
          <w:rFonts w:ascii="Calibri" w:hAnsi="Calibri" w:cs="Calibri"/>
          <w:color w:val="3D3D3D"/>
          <w:sz w:val="22"/>
          <w:szCs w:val="22"/>
        </w:rPr>
        <w:t>Under this</w:t>
      </w:r>
      <w:r w:rsidRPr="006B223F">
        <w:rPr>
          <w:rFonts w:ascii="Calibri" w:hAnsi="Calibri" w:cs="Calibri"/>
          <w:color w:val="3D3D3D"/>
          <w:sz w:val="22"/>
          <w:szCs w:val="22"/>
        </w:rPr>
        <w:t xml:space="preserve"> rule, “an ‘insurer has no right of</w:t>
      </w:r>
      <w:r w:rsidR="005D578A">
        <w:rPr>
          <w:rFonts w:ascii="Calibri" w:hAnsi="Calibri" w:cs="Calibri"/>
          <w:color w:val="3D3D3D"/>
          <w:sz w:val="22"/>
          <w:szCs w:val="22"/>
        </w:rPr>
        <w:t xml:space="preserve"> </w:t>
      </w:r>
      <w:r w:rsidRPr="006B223F">
        <w:rPr>
          <w:rFonts w:ascii="Calibri" w:hAnsi="Calibri" w:cs="Calibri"/>
          <w:color w:val="3D3D3D"/>
          <w:sz w:val="22"/>
          <w:szCs w:val="22"/>
        </w:rPr>
        <w:t>subrogation</w:t>
      </w:r>
      <w:r w:rsidR="005D578A">
        <w:rPr>
          <w:rFonts w:ascii="Calibri" w:hAnsi="Calibri" w:cs="Calibri"/>
          <w:color w:val="3D3D3D"/>
          <w:sz w:val="22"/>
          <w:szCs w:val="22"/>
        </w:rPr>
        <w:t xml:space="preserve"> </w:t>
      </w:r>
      <w:r w:rsidRPr="006B223F">
        <w:rPr>
          <w:rFonts w:ascii="Calibri" w:hAnsi="Calibri" w:cs="Calibri"/>
          <w:color w:val="3D3D3D"/>
          <w:sz w:val="22"/>
          <w:szCs w:val="22"/>
        </w:rPr>
        <w:t>against its own insured for a claim arising</w:t>
      </w:r>
      <w:r w:rsidR="005D578A">
        <w:rPr>
          <w:rFonts w:ascii="Calibri" w:hAnsi="Calibri" w:cs="Calibri"/>
          <w:color w:val="3D3D3D"/>
          <w:sz w:val="22"/>
          <w:szCs w:val="22"/>
        </w:rPr>
        <w:t xml:space="preserve"> </w:t>
      </w:r>
      <w:r w:rsidRPr="006B223F">
        <w:rPr>
          <w:rFonts w:ascii="Calibri" w:hAnsi="Calibri" w:cs="Calibri"/>
          <w:color w:val="3D3D3D"/>
          <w:sz w:val="22"/>
          <w:szCs w:val="22"/>
        </w:rPr>
        <w:t>from the very risk for which the insured was covered</w:t>
      </w:r>
      <w:r w:rsidR="005D578A">
        <w:rPr>
          <w:rFonts w:ascii="Calibri" w:hAnsi="Calibri" w:cs="Calibri"/>
          <w:color w:val="3D3D3D"/>
          <w:sz w:val="22"/>
          <w:szCs w:val="22"/>
        </w:rPr>
        <w:t xml:space="preserve"> </w:t>
      </w:r>
      <w:r w:rsidRPr="006B223F">
        <w:rPr>
          <w:rFonts w:ascii="Calibri" w:hAnsi="Calibri" w:cs="Calibri"/>
          <w:color w:val="3D3D3D"/>
          <w:sz w:val="22"/>
          <w:szCs w:val="22"/>
        </w:rPr>
        <w:t>... even where the insured has expressly agreed to indemnify the party from whom the insurer's rights are derived</w:t>
      </w:r>
      <w:r>
        <w:rPr>
          <w:rFonts w:ascii="Calibri" w:hAnsi="Calibri" w:cs="Calibri"/>
          <w:color w:val="3D3D3D"/>
          <w:sz w:val="22"/>
          <w:szCs w:val="22"/>
        </w:rPr>
        <w:t xml:space="preserve">. </w:t>
      </w:r>
      <w:proofErr w:type="spellStart"/>
      <w:r w:rsidRPr="006B223F">
        <w:rPr>
          <w:rFonts w:ascii="Calibri" w:hAnsi="Calibri" w:cs="Calibri"/>
          <w:i/>
          <w:iCs/>
          <w:color w:val="3D3D3D"/>
          <w:sz w:val="22"/>
          <w:szCs w:val="22"/>
          <w:bdr w:val="none" w:sz="0" w:space="0" w:color="auto" w:frame="1"/>
        </w:rPr>
        <w:t>Lecesse</w:t>
      </w:r>
      <w:proofErr w:type="spellEnd"/>
      <w:r w:rsidRPr="006B223F">
        <w:rPr>
          <w:rFonts w:ascii="Calibri" w:hAnsi="Calibri" w:cs="Calibri"/>
          <w:i/>
          <w:iCs/>
          <w:color w:val="3D3D3D"/>
          <w:sz w:val="22"/>
          <w:szCs w:val="22"/>
          <w:bdr w:val="none" w:sz="0" w:space="0" w:color="auto" w:frame="1"/>
        </w:rPr>
        <w:t xml:space="preserve"> Constr. Servs., LLC v. Hudson Excess Ins. Co.</w:t>
      </w:r>
      <w:r w:rsidRPr="006B223F">
        <w:rPr>
          <w:rFonts w:ascii="Calibri" w:hAnsi="Calibri" w:cs="Calibri"/>
          <w:color w:val="000000"/>
          <w:sz w:val="22"/>
          <w:szCs w:val="22"/>
        </w:rPr>
        <w:t>, 85 Misc. 3d 1271(A) (N.Y. Sup. Ct. 2025)</w:t>
      </w:r>
      <w:r>
        <w:rPr>
          <w:rFonts w:ascii="Calibri" w:hAnsi="Calibri" w:cs="Calibri"/>
          <w:color w:val="000000"/>
          <w:sz w:val="22"/>
          <w:szCs w:val="22"/>
        </w:rPr>
        <w:t xml:space="preserve">. </w:t>
      </w:r>
    </w:p>
    <w:p w14:paraId="245C395D" w14:textId="580494C2" w:rsidR="00070C45" w:rsidRDefault="00070C45" w:rsidP="00021859">
      <w:pPr>
        <w:spacing w:before="120" w:after="120"/>
        <w:jc w:val="both"/>
        <w:rPr>
          <w:rFonts w:ascii="Calibri" w:hAnsi="Calibri"/>
          <w:sz w:val="22"/>
          <w:szCs w:val="22"/>
        </w:rPr>
      </w:pPr>
      <w:r w:rsidRPr="00070C45">
        <w:rPr>
          <w:rFonts w:ascii="Calibri" w:hAnsi="Calibri"/>
          <w:sz w:val="22"/>
          <w:szCs w:val="22"/>
        </w:rPr>
        <w:t xml:space="preserve">Furthermore, the </w:t>
      </w:r>
      <w:r>
        <w:rPr>
          <w:rFonts w:ascii="Calibri" w:hAnsi="Calibri"/>
          <w:sz w:val="22"/>
          <w:szCs w:val="22"/>
        </w:rPr>
        <w:t>ASR</w:t>
      </w:r>
      <w:r w:rsidRPr="00070C45">
        <w:rPr>
          <w:rFonts w:ascii="Calibri" w:hAnsi="Calibri"/>
          <w:sz w:val="22"/>
          <w:szCs w:val="22"/>
        </w:rPr>
        <w:t xml:space="preserve"> bars claims not only against the individual or entity who is directly insured, but also to </w:t>
      </w:r>
      <w:r w:rsidR="00A760A1">
        <w:rPr>
          <w:rFonts w:ascii="Calibri" w:hAnsi="Calibri"/>
          <w:sz w:val="22"/>
          <w:szCs w:val="22"/>
        </w:rPr>
        <w:t>“</w:t>
      </w:r>
      <w:r w:rsidRPr="00070C45">
        <w:rPr>
          <w:rFonts w:ascii="Calibri" w:hAnsi="Calibri"/>
          <w:sz w:val="22"/>
          <w:szCs w:val="22"/>
        </w:rPr>
        <w:t>additional insureds</w:t>
      </w:r>
      <w:r w:rsidR="00A760A1">
        <w:rPr>
          <w:rFonts w:ascii="Calibri" w:hAnsi="Calibri"/>
          <w:sz w:val="22"/>
          <w:szCs w:val="22"/>
        </w:rPr>
        <w:t>”</w:t>
      </w:r>
      <w:r w:rsidRPr="00070C45">
        <w:rPr>
          <w:rFonts w:ascii="Calibri" w:hAnsi="Calibri"/>
          <w:sz w:val="22"/>
          <w:szCs w:val="22"/>
        </w:rPr>
        <w:t xml:space="preserve"> when there is an express indemnity agreement. </w:t>
      </w:r>
      <w:r w:rsidRPr="00B43D06">
        <w:rPr>
          <w:rFonts w:ascii="Calibri" w:hAnsi="Calibri"/>
          <w:i/>
          <w:iCs/>
          <w:sz w:val="22"/>
          <w:szCs w:val="22"/>
        </w:rPr>
        <w:t>Liberty Mut. Fire Ins. Co. v. E.E. Cruz &amp; Co</w:t>
      </w:r>
      <w:r w:rsidRPr="00070C45">
        <w:rPr>
          <w:rFonts w:ascii="Calibri" w:hAnsi="Calibri"/>
          <w:sz w:val="22"/>
          <w:szCs w:val="22"/>
        </w:rPr>
        <w:t xml:space="preserve">., 475 F. Supp. 2d 400 (S.D.N.Y. 2007) (quoting </w:t>
      </w:r>
      <w:r w:rsidRPr="00B43D06">
        <w:rPr>
          <w:rFonts w:ascii="Calibri" w:hAnsi="Calibri"/>
          <w:i/>
          <w:iCs/>
          <w:sz w:val="22"/>
          <w:szCs w:val="22"/>
        </w:rPr>
        <w:t>Allianz Ins. Co. v. Otero</w:t>
      </w:r>
      <w:r w:rsidRPr="00070C45">
        <w:rPr>
          <w:rFonts w:ascii="Calibri" w:hAnsi="Calibri"/>
          <w:sz w:val="22"/>
          <w:szCs w:val="22"/>
        </w:rPr>
        <w:t>, 353 F. Supp. 2d 415 (S.D.N.Y. 2004)</w:t>
      </w:r>
      <w:r>
        <w:rPr>
          <w:rFonts w:ascii="Calibri" w:hAnsi="Calibri"/>
          <w:sz w:val="22"/>
          <w:szCs w:val="22"/>
        </w:rPr>
        <w:t xml:space="preserve">). </w:t>
      </w:r>
      <w:r w:rsidR="00021859">
        <w:rPr>
          <w:rFonts w:ascii="Calibri" w:hAnsi="Calibri"/>
          <w:sz w:val="22"/>
          <w:szCs w:val="22"/>
        </w:rPr>
        <w:t>T</w:t>
      </w:r>
      <w:r w:rsidR="00021859" w:rsidRPr="00021859">
        <w:rPr>
          <w:rFonts w:ascii="Calibri" w:hAnsi="Calibri"/>
          <w:sz w:val="22"/>
          <w:szCs w:val="22"/>
        </w:rPr>
        <w:t xml:space="preserve">he purpose of the </w:t>
      </w:r>
      <w:r w:rsidR="00021859">
        <w:rPr>
          <w:rFonts w:ascii="Calibri" w:hAnsi="Calibri"/>
          <w:sz w:val="22"/>
          <w:szCs w:val="22"/>
        </w:rPr>
        <w:t>New York ASR</w:t>
      </w:r>
      <w:r w:rsidR="00021859" w:rsidRPr="00021859">
        <w:rPr>
          <w:rFonts w:ascii="Calibri" w:hAnsi="Calibri"/>
          <w:sz w:val="22"/>
          <w:szCs w:val="22"/>
        </w:rPr>
        <w:t xml:space="preserve"> is to prevent an insurer who provides coverage to both sides of a third-party action from recouping from one insured, the third-party defendant, the payment it makes on behalf of another insured, the third-party plaintiff.</w:t>
      </w:r>
      <w:r w:rsidR="00021859">
        <w:rPr>
          <w:rFonts w:ascii="Calibri" w:hAnsi="Calibri"/>
          <w:sz w:val="22"/>
          <w:szCs w:val="22"/>
        </w:rPr>
        <w:t xml:space="preserve"> </w:t>
      </w:r>
      <w:r w:rsidR="00021859" w:rsidRPr="005B53F2">
        <w:rPr>
          <w:rFonts w:ascii="Calibri" w:hAnsi="Calibri"/>
          <w:i/>
          <w:iCs/>
          <w:sz w:val="22"/>
          <w:szCs w:val="22"/>
        </w:rPr>
        <w:t>Zurich Am. Ins. Co. v. Certain Underwriters at Lloyd</w:t>
      </w:r>
      <w:r w:rsidR="00124F7F">
        <w:rPr>
          <w:rFonts w:ascii="Calibri" w:hAnsi="Calibri"/>
          <w:i/>
          <w:iCs/>
          <w:sz w:val="22"/>
          <w:szCs w:val="22"/>
        </w:rPr>
        <w:t>’</w:t>
      </w:r>
      <w:r w:rsidR="00021859" w:rsidRPr="005B53F2">
        <w:rPr>
          <w:rFonts w:ascii="Calibri" w:hAnsi="Calibri"/>
          <w:i/>
          <w:iCs/>
          <w:sz w:val="22"/>
          <w:szCs w:val="22"/>
        </w:rPr>
        <w:t>s of London</w:t>
      </w:r>
      <w:r w:rsidR="00021859" w:rsidRPr="00021859">
        <w:rPr>
          <w:rFonts w:ascii="Calibri" w:hAnsi="Calibri"/>
          <w:sz w:val="22"/>
          <w:szCs w:val="22"/>
        </w:rPr>
        <w:t>, 2022 WL 4134569 (S.D.N.Y. 2022)</w:t>
      </w:r>
      <w:r w:rsidR="00021859">
        <w:rPr>
          <w:rFonts w:ascii="Calibri" w:hAnsi="Calibri"/>
          <w:sz w:val="22"/>
          <w:szCs w:val="22"/>
        </w:rPr>
        <w:t xml:space="preserve">. </w:t>
      </w:r>
    </w:p>
    <w:p w14:paraId="4B339743" w14:textId="34AD9B0E" w:rsidR="004F0F28" w:rsidRPr="006F2DA1" w:rsidRDefault="00752EB4" w:rsidP="0045202E">
      <w:pPr>
        <w:spacing w:before="120" w:after="120"/>
        <w:jc w:val="both"/>
        <w:rPr>
          <w:rFonts w:ascii="Calibri" w:hAnsi="Calibri"/>
          <w:sz w:val="22"/>
          <w:szCs w:val="22"/>
        </w:rPr>
      </w:pPr>
      <w:r w:rsidRPr="006F2DA1">
        <w:rPr>
          <w:rFonts w:ascii="Calibri" w:hAnsi="Calibri"/>
          <w:sz w:val="22"/>
          <w:szCs w:val="22"/>
        </w:rPr>
        <w:t>An insurer has no right of subrogation against its own insured for a claim arising from the very risk for which the insured was covered even where the insured has expressly agreed to indemnify the party from whom the insurer</w:t>
      </w:r>
      <w:r w:rsidR="009B750A" w:rsidRPr="006F2DA1">
        <w:rPr>
          <w:rFonts w:ascii="Calibri" w:hAnsi="Calibri"/>
          <w:sz w:val="22"/>
          <w:szCs w:val="22"/>
        </w:rPr>
        <w:t>’</w:t>
      </w:r>
      <w:r w:rsidRPr="006F2DA1">
        <w:rPr>
          <w:rFonts w:ascii="Calibri" w:hAnsi="Calibri"/>
          <w:sz w:val="22"/>
          <w:szCs w:val="22"/>
        </w:rPr>
        <w:t xml:space="preserve">s rights are derived. </w:t>
      </w:r>
      <w:r w:rsidRPr="006F2DA1">
        <w:rPr>
          <w:rFonts w:ascii="Calibri" w:hAnsi="Calibri"/>
          <w:i/>
          <w:sz w:val="22"/>
          <w:szCs w:val="22"/>
        </w:rPr>
        <w:t>North</w:t>
      </w:r>
      <w:r w:rsidR="009B750A" w:rsidRPr="006F2DA1">
        <w:rPr>
          <w:rFonts w:ascii="Calibri" w:hAnsi="Calibri"/>
          <w:i/>
          <w:sz w:val="22"/>
          <w:szCs w:val="22"/>
        </w:rPr>
        <w:t xml:space="preserve"> Star Reinsurance Corp. v. Cont’</w:t>
      </w:r>
      <w:r w:rsidRPr="006F2DA1">
        <w:rPr>
          <w:rFonts w:ascii="Calibri" w:hAnsi="Calibri"/>
          <w:i/>
          <w:sz w:val="22"/>
          <w:szCs w:val="22"/>
        </w:rPr>
        <w:t xml:space="preserve">l Ins. Co., </w:t>
      </w:r>
      <w:r w:rsidRPr="006F2DA1">
        <w:rPr>
          <w:rFonts w:ascii="Calibri" w:hAnsi="Calibri"/>
          <w:sz w:val="22"/>
          <w:szCs w:val="22"/>
        </w:rPr>
        <w:t>624 N.E.2d 647 (</w:t>
      </w:r>
      <w:r w:rsidR="00386F32" w:rsidRPr="006F2DA1">
        <w:rPr>
          <w:rFonts w:ascii="Calibri" w:hAnsi="Calibri"/>
          <w:sz w:val="22"/>
          <w:szCs w:val="22"/>
        </w:rPr>
        <w:t xml:space="preserve">N.Y. </w:t>
      </w:r>
      <w:r w:rsidRPr="006F2DA1">
        <w:rPr>
          <w:rFonts w:ascii="Calibri" w:hAnsi="Calibri"/>
          <w:sz w:val="22"/>
          <w:szCs w:val="22"/>
        </w:rPr>
        <w:t>1993)</w:t>
      </w:r>
      <w:r w:rsidR="0045202E">
        <w:rPr>
          <w:rFonts w:ascii="Calibri" w:hAnsi="Calibri"/>
          <w:sz w:val="22"/>
          <w:szCs w:val="22"/>
        </w:rPr>
        <w:t xml:space="preserve">; </w:t>
      </w:r>
      <w:r w:rsidR="0045202E" w:rsidRPr="0095556A">
        <w:rPr>
          <w:rFonts w:ascii="Calibri" w:hAnsi="Calibri"/>
          <w:i/>
          <w:iCs/>
          <w:sz w:val="22"/>
          <w:szCs w:val="22"/>
        </w:rPr>
        <w:t>Catlin Ins. Co., Inc. v. Falco Constr. Corp</w:t>
      </w:r>
      <w:r w:rsidR="0045202E" w:rsidRPr="0045202E">
        <w:rPr>
          <w:rFonts w:ascii="Calibri" w:hAnsi="Calibri"/>
          <w:sz w:val="22"/>
          <w:szCs w:val="22"/>
        </w:rPr>
        <w:t>., 188 N.Y.S.3d 625 (N.Y. App. 2023)</w:t>
      </w:r>
      <w:r w:rsidRPr="006F2DA1">
        <w:rPr>
          <w:rFonts w:ascii="Calibri" w:hAnsi="Calibri"/>
          <w:sz w:val="22"/>
          <w:szCs w:val="22"/>
        </w:rPr>
        <w:t>.</w:t>
      </w:r>
      <w:r w:rsidR="009B750A" w:rsidRPr="006F2DA1">
        <w:rPr>
          <w:rFonts w:ascii="Calibri" w:hAnsi="Calibri"/>
          <w:sz w:val="22"/>
          <w:szCs w:val="22"/>
        </w:rPr>
        <w:t xml:space="preserve"> </w:t>
      </w:r>
      <w:r w:rsidRPr="006F2DA1">
        <w:rPr>
          <w:rFonts w:ascii="Calibri" w:hAnsi="Calibri"/>
          <w:sz w:val="22"/>
          <w:szCs w:val="22"/>
        </w:rPr>
        <w:t xml:space="preserve">Insurers are barred under the </w:t>
      </w:r>
      <w:smartTag w:uri="urn:schemas-microsoft-com:office:smarttags" w:element="stockticker">
        <w:r w:rsidRPr="006F2DA1">
          <w:rPr>
            <w:rFonts w:ascii="Calibri" w:hAnsi="Calibri"/>
            <w:sz w:val="22"/>
            <w:szCs w:val="22"/>
          </w:rPr>
          <w:t>ASR</w:t>
        </w:r>
      </w:smartTag>
      <w:r w:rsidRPr="006F2DA1">
        <w:rPr>
          <w:rFonts w:ascii="Calibri" w:hAnsi="Calibri"/>
          <w:sz w:val="22"/>
          <w:szCs w:val="22"/>
        </w:rPr>
        <w:t xml:space="preserve"> from seeking subrogation against a named insured or additional insureds. Conversely, subrogation is typically permissible where the third party is not a named or additional insured. </w:t>
      </w:r>
      <w:r w:rsidRPr="006F2DA1">
        <w:rPr>
          <w:rFonts w:ascii="Calibri" w:hAnsi="Calibri"/>
          <w:i/>
          <w:sz w:val="22"/>
          <w:szCs w:val="22"/>
        </w:rPr>
        <w:t>Millennium Holdings</w:t>
      </w:r>
      <w:r w:rsidR="009B750A" w:rsidRPr="006F2DA1">
        <w:rPr>
          <w:rFonts w:ascii="Calibri" w:hAnsi="Calibri"/>
          <w:i/>
          <w:sz w:val="22"/>
          <w:szCs w:val="22"/>
        </w:rPr>
        <w:t>,</w:t>
      </w:r>
      <w:r w:rsidRPr="006F2DA1">
        <w:rPr>
          <w:rFonts w:ascii="Calibri" w:hAnsi="Calibri"/>
          <w:i/>
          <w:sz w:val="22"/>
          <w:szCs w:val="22"/>
        </w:rPr>
        <w:t xml:space="preserve"> LLC v. Glidden Co.</w:t>
      </w:r>
      <w:r w:rsidRPr="006F2DA1">
        <w:rPr>
          <w:rFonts w:ascii="Calibri" w:hAnsi="Calibri"/>
          <w:sz w:val="22"/>
          <w:szCs w:val="22"/>
        </w:rPr>
        <w:t>, 53 N.E.3d 723 (</w:t>
      </w:r>
      <w:r w:rsidR="0003125C" w:rsidRPr="006F2DA1">
        <w:rPr>
          <w:rFonts w:ascii="Calibri" w:hAnsi="Calibri"/>
          <w:sz w:val="22"/>
          <w:szCs w:val="22"/>
        </w:rPr>
        <w:t xml:space="preserve">N.Y. App. </w:t>
      </w:r>
      <w:r w:rsidRPr="006F2DA1">
        <w:rPr>
          <w:rFonts w:ascii="Calibri" w:hAnsi="Calibri"/>
          <w:sz w:val="22"/>
          <w:szCs w:val="22"/>
        </w:rPr>
        <w:t>2016). In other words, an insurer may subrogate against a third-party tortfeasor if it also qualifies as an insured under the same policy</w:t>
      </w:r>
      <w:r w:rsidR="009B750A" w:rsidRPr="006F2DA1">
        <w:rPr>
          <w:rFonts w:ascii="Calibri" w:hAnsi="Calibri"/>
          <w:sz w:val="22"/>
          <w:szCs w:val="22"/>
        </w:rPr>
        <w:t xml:space="preserve"> </w:t>
      </w:r>
      <w:r w:rsidRPr="006F2DA1">
        <w:rPr>
          <w:rFonts w:ascii="Calibri" w:hAnsi="Calibri"/>
          <w:sz w:val="22"/>
          <w:szCs w:val="22"/>
        </w:rPr>
        <w:t xml:space="preserve">for damages arising from the </w:t>
      </w:r>
      <w:r w:rsidRPr="006F2DA1">
        <w:rPr>
          <w:rFonts w:ascii="Calibri" w:hAnsi="Calibri"/>
          <w:i/>
          <w:sz w:val="22"/>
          <w:szCs w:val="22"/>
        </w:rPr>
        <w:t>same risk</w:t>
      </w:r>
      <w:r w:rsidRPr="006F2DA1">
        <w:rPr>
          <w:rFonts w:ascii="Calibri" w:hAnsi="Calibri"/>
          <w:sz w:val="22"/>
          <w:szCs w:val="22"/>
        </w:rPr>
        <w:t xml:space="preserve"> covered by the policy. The </w:t>
      </w:r>
      <w:smartTag w:uri="urn:schemas-microsoft-com:office:smarttags" w:element="stockticker">
        <w:r w:rsidRPr="006F2DA1">
          <w:rPr>
            <w:rFonts w:ascii="Calibri" w:hAnsi="Calibri"/>
            <w:sz w:val="22"/>
            <w:szCs w:val="22"/>
          </w:rPr>
          <w:t>ASR</w:t>
        </w:r>
      </w:smartTag>
      <w:r w:rsidRPr="006F2DA1">
        <w:rPr>
          <w:rFonts w:ascii="Calibri" w:hAnsi="Calibri"/>
          <w:sz w:val="22"/>
          <w:szCs w:val="22"/>
        </w:rPr>
        <w:t xml:space="preserve"> does not apply when the loss for which indemnification is sought is subject to a specific exclusion in the pertinent policy. </w:t>
      </w:r>
      <w:r w:rsidRPr="006F2DA1">
        <w:rPr>
          <w:rFonts w:ascii="Calibri" w:hAnsi="Calibri"/>
          <w:i/>
          <w:sz w:val="22"/>
          <w:szCs w:val="22"/>
        </w:rPr>
        <w:t>State v. Schenectady Hardware and Elec. Co., Inc</w:t>
      </w:r>
      <w:r w:rsidR="0033214A" w:rsidRPr="006F2DA1">
        <w:rPr>
          <w:rFonts w:ascii="Calibri" w:hAnsi="Calibri"/>
          <w:sz w:val="22"/>
          <w:szCs w:val="22"/>
        </w:rPr>
        <w:t xml:space="preserve">., </w:t>
      </w:r>
      <w:smartTag w:uri="urn:schemas-microsoft-com:office:smarttags" w:element="metricconverter">
        <w:smartTagPr>
          <w:attr w:name="ProductID" w:val="223 A"/>
        </w:smartTagPr>
        <w:r w:rsidR="0033214A" w:rsidRPr="006F2DA1">
          <w:rPr>
            <w:rFonts w:ascii="Calibri" w:hAnsi="Calibri"/>
            <w:sz w:val="22"/>
            <w:szCs w:val="22"/>
          </w:rPr>
          <w:t>223 A</w:t>
        </w:r>
      </w:smartTag>
      <w:r w:rsidR="0033214A" w:rsidRPr="006F2DA1">
        <w:rPr>
          <w:rFonts w:ascii="Calibri" w:hAnsi="Calibri"/>
          <w:sz w:val="22"/>
          <w:szCs w:val="22"/>
        </w:rPr>
        <w:t xml:space="preserve">.D.2d 783 </w:t>
      </w:r>
      <w:r w:rsidRPr="006F2DA1">
        <w:rPr>
          <w:rFonts w:ascii="Calibri" w:hAnsi="Calibri"/>
          <w:sz w:val="22"/>
          <w:szCs w:val="22"/>
        </w:rPr>
        <w:t>(</w:t>
      </w:r>
      <w:r w:rsidR="00870F42" w:rsidRPr="006F2DA1">
        <w:rPr>
          <w:rFonts w:ascii="Calibri" w:hAnsi="Calibri"/>
          <w:sz w:val="22"/>
          <w:szCs w:val="22"/>
        </w:rPr>
        <w:t xml:space="preserve">N.Y. App. Div. </w:t>
      </w:r>
      <w:r w:rsidRPr="006F2DA1">
        <w:rPr>
          <w:rFonts w:ascii="Calibri" w:hAnsi="Calibri"/>
          <w:sz w:val="22"/>
          <w:szCs w:val="22"/>
        </w:rPr>
        <w:t>1996).</w:t>
      </w:r>
      <w:r w:rsidR="0003125C" w:rsidRPr="006F2DA1">
        <w:rPr>
          <w:rFonts w:ascii="Calibri" w:hAnsi="Calibri"/>
          <w:sz w:val="22"/>
          <w:szCs w:val="22"/>
        </w:rPr>
        <w:t xml:space="preserve"> In </w:t>
      </w:r>
      <w:r w:rsidR="0003125C" w:rsidRPr="006F2DA1">
        <w:rPr>
          <w:rFonts w:ascii="Calibri" w:hAnsi="Calibri"/>
          <w:i/>
          <w:sz w:val="22"/>
          <w:szCs w:val="22"/>
        </w:rPr>
        <w:t>Millennium Holdings</w:t>
      </w:r>
      <w:r w:rsidR="0003125C" w:rsidRPr="006F2DA1">
        <w:rPr>
          <w:rFonts w:ascii="Calibri" w:hAnsi="Calibri"/>
          <w:sz w:val="22"/>
          <w:szCs w:val="22"/>
        </w:rPr>
        <w:t xml:space="preserve">, the Court of Appeals clarified that, except for rare public policy-driven exceptions, in order for the </w:t>
      </w:r>
      <w:smartTag w:uri="urn:schemas-microsoft-com:office:smarttags" w:element="stockticker">
        <w:r w:rsidR="009B750A" w:rsidRPr="006F2DA1">
          <w:rPr>
            <w:rFonts w:ascii="Calibri" w:hAnsi="Calibri"/>
            <w:sz w:val="22"/>
            <w:szCs w:val="22"/>
          </w:rPr>
          <w:t>ASR</w:t>
        </w:r>
      </w:smartTag>
      <w:r w:rsidR="0003125C" w:rsidRPr="006F2DA1">
        <w:rPr>
          <w:rFonts w:ascii="Calibri" w:hAnsi="Calibri"/>
          <w:sz w:val="22"/>
          <w:szCs w:val="22"/>
        </w:rPr>
        <w:t xml:space="preserve"> to apply, the party seeking the protection of the rule must be insured under the insurance policy. In so ruling, the Court of Appeals reversed the rulings of the lower courts which, according to the Court of Appeals, would have improperly expanded application of the rule to </w:t>
      </w:r>
      <w:r w:rsidR="009B750A" w:rsidRPr="006F2DA1">
        <w:rPr>
          <w:rFonts w:ascii="Calibri" w:hAnsi="Calibri"/>
          <w:sz w:val="22"/>
          <w:szCs w:val="22"/>
        </w:rPr>
        <w:t xml:space="preserve">the </w:t>
      </w:r>
      <w:r w:rsidR="0003125C" w:rsidRPr="006F2DA1">
        <w:rPr>
          <w:rFonts w:ascii="Calibri" w:hAnsi="Calibri"/>
          <w:sz w:val="22"/>
          <w:szCs w:val="22"/>
        </w:rPr>
        <w:t>non-insured parties.</w:t>
      </w:r>
      <w:r w:rsidR="009B750A" w:rsidRPr="006F2DA1">
        <w:rPr>
          <w:rFonts w:ascii="Calibri" w:hAnsi="Calibri"/>
          <w:sz w:val="22"/>
          <w:szCs w:val="22"/>
        </w:rPr>
        <w:t xml:space="preserve"> </w:t>
      </w:r>
      <w:r w:rsidRPr="006F2DA1">
        <w:rPr>
          <w:rFonts w:ascii="Calibri" w:hAnsi="Calibri"/>
          <w:sz w:val="22"/>
          <w:szCs w:val="22"/>
        </w:rPr>
        <w:t xml:space="preserve">The </w:t>
      </w:r>
      <w:smartTag w:uri="urn:schemas-microsoft-com:office:smarttags" w:element="stockticker">
        <w:r w:rsidRPr="006F2DA1">
          <w:rPr>
            <w:rFonts w:ascii="Calibri" w:hAnsi="Calibri"/>
            <w:sz w:val="22"/>
            <w:szCs w:val="22"/>
          </w:rPr>
          <w:t>ASR</w:t>
        </w:r>
      </w:smartTag>
      <w:r w:rsidRPr="006F2DA1">
        <w:rPr>
          <w:rFonts w:ascii="Calibri" w:hAnsi="Calibri"/>
          <w:sz w:val="22"/>
          <w:szCs w:val="22"/>
        </w:rPr>
        <w:t xml:space="preserve"> does not apply to claim</w:t>
      </w:r>
      <w:r w:rsidR="009B750A" w:rsidRPr="006F2DA1">
        <w:rPr>
          <w:rFonts w:ascii="Calibri" w:hAnsi="Calibri"/>
          <w:sz w:val="22"/>
          <w:szCs w:val="22"/>
        </w:rPr>
        <w:t>s</w:t>
      </w:r>
      <w:r w:rsidRPr="006F2DA1">
        <w:rPr>
          <w:rFonts w:ascii="Calibri" w:hAnsi="Calibri"/>
          <w:sz w:val="22"/>
          <w:szCs w:val="22"/>
        </w:rPr>
        <w:t xml:space="preserve"> by liability insur</w:t>
      </w:r>
      <w:r w:rsidR="009B750A" w:rsidRPr="006F2DA1">
        <w:rPr>
          <w:rFonts w:ascii="Calibri" w:hAnsi="Calibri"/>
          <w:sz w:val="22"/>
          <w:szCs w:val="22"/>
        </w:rPr>
        <w:t>ers for lead paint manufacturer’</w:t>
      </w:r>
      <w:r w:rsidRPr="006F2DA1">
        <w:rPr>
          <w:rFonts w:ascii="Calibri" w:hAnsi="Calibri"/>
          <w:sz w:val="22"/>
          <w:szCs w:val="22"/>
        </w:rPr>
        <w:t xml:space="preserve">s successor to recover on indemnify obligation by related successor that was never an insured. The application of the rule becomes more complex when the facts presented involve more than one policy and more than one insured. Where there are two policies, one a general liability policy and the second a compensation policy, </w:t>
      </w:r>
      <w:smartTag w:uri="urn:schemas-microsoft-com:office:smarttags" w:element="stockticker">
        <w:r w:rsidRPr="006F2DA1">
          <w:rPr>
            <w:rFonts w:ascii="Calibri" w:hAnsi="Calibri"/>
            <w:sz w:val="22"/>
            <w:szCs w:val="22"/>
          </w:rPr>
          <w:t>ASR</w:t>
        </w:r>
      </w:smartTag>
      <w:r w:rsidRPr="006F2DA1">
        <w:rPr>
          <w:rFonts w:ascii="Calibri" w:hAnsi="Calibri"/>
          <w:sz w:val="22"/>
          <w:szCs w:val="22"/>
        </w:rPr>
        <w:t xml:space="preserve"> does not apply. </w:t>
      </w:r>
      <w:r w:rsidRPr="006F2DA1">
        <w:rPr>
          <w:rFonts w:ascii="Calibri" w:hAnsi="Calibri"/>
          <w:i/>
          <w:iCs/>
          <w:sz w:val="22"/>
          <w:szCs w:val="22"/>
        </w:rPr>
        <w:t xml:space="preserve">Hartford Accident &amp; </w:t>
      </w:r>
      <w:proofErr w:type="spellStart"/>
      <w:r w:rsidRPr="006F2DA1">
        <w:rPr>
          <w:rFonts w:ascii="Calibri" w:hAnsi="Calibri"/>
          <w:i/>
          <w:iCs/>
          <w:sz w:val="22"/>
          <w:szCs w:val="22"/>
        </w:rPr>
        <w:t>Indem</w:t>
      </w:r>
      <w:proofErr w:type="spellEnd"/>
      <w:r w:rsidR="009B750A" w:rsidRPr="006F2DA1">
        <w:rPr>
          <w:rFonts w:ascii="Calibri" w:hAnsi="Calibri"/>
          <w:i/>
          <w:iCs/>
          <w:sz w:val="22"/>
          <w:szCs w:val="22"/>
        </w:rPr>
        <w:t>.</w:t>
      </w:r>
      <w:r w:rsidRPr="006F2DA1">
        <w:rPr>
          <w:rFonts w:ascii="Calibri" w:hAnsi="Calibri"/>
          <w:i/>
          <w:iCs/>
          <w:sz w:val="22"/>
          <w:szCs w:val="22"/>
        </w:rPr>
        <w:t xml:space="preserve"> Co. v. Michigan Mutual Ins</w:t>
      </w:r>
      <w:r w:rsidR="009B750A" w:rsidRPr="006F2DA1">
        <w:rPr>
          <w:rFonts w:ascii="Calibri" w:hAnsi="Calibri"/>
          <w:i/>
          <w:iCs/>
          <w:sz w:val="22"/>
          <w:szCs w:val="22"/>
        </w:rPr>
        <w:t>.</w:t>
      </w:r>
      <w:r w:rsidRPr="006F2DA1">
        <w:rPr>
          <w:rFonts w:ascii="Calibri" w:hAnsi="Calibri"/>
          <w:i/>
          <w:iCs/>
          <w:sz w:val="22"/>
          <w:szCs w:val="22"/>
        </w:rPr>
        <w:t xml:space="preserve"> Co.</w:t>
      </w:r>
      <w:r w:rsidRPr="006F2DA1">
        <w:rPr>
          <w:rFonts w:ascii="Calibri" w:hAnsi="Calibri"/>
          <w:sz w:val="22"/>
          <w:szCs w:val="22"/>
        </w:rPr>
        <w:t xml:space="preserve">, 463 N.E.2d 608 (1984). However, where there are two separate policies, each naming a different insured, purchased by the same entity, and issued at the same time by the same insurer, the </w:t>
      </w:r>
      <w:smartTag w:uri="urn:schemas-microsoft-com:office:smarttags" w:element="stockticker">
        <w:r w:rsidRPr="006F2DA1">
          <w:rPr>
            <w:rFonts w:ascii="Calibri" w:hAnsi="Calibri"/>
            <w:sz w:val="22"/>
            <w:szCs w:val="22"/>
          </w:rPr>
          <w:t>ASR</w:t>
        </w:r>
      </w:smartTag>
      <w:r w:rsidRPr="006F2DA1">
        <w:rPr>
          <w:rFonts w:ascii="Calibri" w:hAnsi="Calibri"/>
          <w:sz w:val="22"/>
          <w:szCs w:val="22"/>
        </w:rPr>
        <w:t xml:space="preserve"> applies. </w:t>
      </w:r>
      <w:r w:rsidRPr="006F2DA1">
        <w:rPr>
          <w:rFonts w:ascii="Calibri" w:hAnsi="Calibri"/>
          <w:i/>
          <w:sz w:val="22"/>
          <w:szCs w:val="22"/>
        </w:rPr>
        <w:t>N</w:t>
      </w:r>
      <w:r w:rsidR="004F0F28" w:rsidRPr="006F2DA1">
        <w:rPr>
          <w:rFonts w:ascii="Calibri" w:hAnsi="Calibri"/>
          <w:i/>
          <w:sz w:val="22"/>
          <w:szCs w:val="22"/>
        </w:rPr>
        <w:t>orth</w:t>
      </w:r>
      <w:r w:rsidRPr="006F2DA1">
        <w:rPr>
          <w:rFonts w:ascii="Calibri" w:hAnsi="Calibri"/>
          <w:i/>
          <w:sz w:val="22"/>
          <w:szCs w:val="22"/>
        </w:rPr>
        <w:t>. Star Reinsurance Corp</w:t>
      </w:r>
      <w:r w:rsidR="004F0F28" w:rsidRPr="006F2DA1">
        <w:rPr>
          <w:rFonts w:ascii="Calibri" w:hAnsi="Calibri"/>
          <w:i/>
          <w:sz w:val="22"/>
          <w:szCs w:val="22"/>
        </w:rPr>
        <w:t xml:space="preserve">, </w:t>
      </w:r>
      <w:r w:rsidR="004F0F28" w:rsidRPr="006F2DA1">
        <w:rPr>
          <w:rFonts w:ascii="Calibri" w:hAnsi="Calibri"/>
          <w:sz w:val="22"/>
          <w:szCs w:val="22"/>
          <w:u w:val="single"/>
        </w:rPr>
        <w:t>supra</w:t>
      </w:r>
      <w:r w:rsidRPr="006F2DA1">
        <w:rPr>
          <w:rFonts w:ascii="Calibri" w:hAnsi="Calibri"/>
          <w:sz w:val="22"/>
          <w:szCs w:val="22"/>
        </w:rPr>
        <w:t xml:space="preserve">. The </w:t>
      </w:r>
      <w:smartTag w:uri="urn:schemas-microsoft-com:office:smarttags" w:element="stockticker">
        <w:r w:rsidRPr="006F2DA1">
          <w:rPr>
            <w:rFonts w:ascii="Calibri" w:hAnsi="Calibri"/>
            <w:sz w:val="22"/>
            <w:szCs w:val="22"/>
          </w:rPr>
          <w:t>ASR</w:t>
        </w:r>
      </w:smartTag>
      <w:r w:rsidRPr="006F2DA1">
        <w:rPr>
          <w:rFonts w:ascii="Calibri" w:hAnsi="Calibri"/>
          <w:sz w:val="22"/>
          <w:szCs w:val="22"/>
        </w:rPr>
        <w:t xml:space="preserve"> does not prevent subrogation against</w:t>
      </w:r>
      <w:r w:rsidR="004F0F28" w:rsidRPr="006F2DA1">
        <w:rPr>
          <w:rFonts w:ascii="Calibri" w:hAnsi="Calibri"/>
          <w:sz w:val="22"/>
          <w:szCs w:val="22"/>
        </w:rPr>
        <w:t xml:space="preserve"> a co-insured where the insurer’</w:t>
      </w:r>
      <w:r w:rsidRPr="006F2DA1">
        <w:rPr>
          <w:rFonts w:ascii="Calibri" w:hAnsi="Calibri"/>
          <w:sz w:val="22"/>
          <w:szCs w:val="22"/>
        </w:rPr>
        <w:t>s obligation to the co-insured arises under a different policy</w:t>
      </w:r>
      <w:r w:rsidR="004F0F28" w:rsidRPr="006F2DA1">
        <w:rPr>
          <w:rFonts w:ascii="Calibri" w:hAnsi="Calibri"/>
          <w:sz w:val="22"/>
          <w:szCs w:val="22"/>
        </w:rPr>
        <w:t xml:space="preserve">, </w:t>
      </w:r>
      <w:r w:rsidRPr="006F2DA1">
        <w:rPr>
          <w:rFonts w:ascii="Calibri" w:hAnsi="Calibri"/>
          <w:sz w:val="22"/>
          <w:szCs w:val="22"/>
        </w:rPr>
        <w:t>even where both insured parties are also covered under a separate, original policy that gave rise to the insurer</w:t>
      </w:r>
      <w:r w:rsidR="004F0F28" w:rsidRPr="006F2DA1">
        <w:rPr>
          <w:rFonts w:ascii="Calibri" w:hAnsi="Calibri"/>
          <w:sz w:val="22"/>
          <w:szCs w:val="22"/>
        </w:rPr>
        <w:t>’</w:t>
      </w:r>
      <w:r w:rsidRPr="006F2DA1">
        <w:rPr>
          <w:rFonts w:ascii="Calibri" w:hAnsi="Calibri"/>
          <w:sz w:val="22"/>
          <w:szCs w:val="22"/>
        </w:rPr>
        <w:t xml:space="preserve">s obligation to defend the first-party action. </w:t>
      </w:r>
      <w:smartTag w:uri="urn:schemas-microsoft-com:office:smarttags" w:element="stockticker">
        <w:r w:rsidRPr="006F2DA1">
          <w:rPr>
            <w:rFonts w:ascii="Calibri" w:hAnsi="Calibri"/>
            <w:i/>
            <w:sz w:val="22"/>
            <w:szCs w:val="22"/>
          </w:rPr>
          <w:t>HDI</w:t>
        </w:r>
      </w:smartTag>
      <w:r w:rsidRPr="006F2DA1">
        <w:rPr>
          <w:rFonts w:ascii="Calibri" w:hAnsi="Calibri"/>
          <w:i/>
          <w:sz w:val="22"/>
          <w:szCs w:val="22"/>
        </w:rPr>
        <w:t>-Gerling Am. Ins. Co. v. Navigators Ins. Co.</w:t>
      </w:r>
      <w:r w:rsidRPr="006F2DA1">
        <w:rPr>
          <w:rFonts w:ascii="Calibri" w:hAnsi="Calibri"/>
          <w:sz w:val="22"/>
          <w:szCs w:val="22"/>
        </w:rPr>
        <w:t>, 2016 WL 4148216 (D. Mass. 2016) (applying NY law).</w:t>
      </w:r>
      <w:r w:rsidR="004F0F28" w:rsidRPr="006F2DA1">
        <w:rPr>
          <w:rFonts w:ascii="Calibri" w:hAnsi="Calibri"/>
          <w:sz w:val="22"/>
          <w:szCs w:val="22"/>
        </w:rPr>
        <w:t xml:space="preserve"> </w:t>
      </w:r>
    </w:p>
    <w:p w14:paraId="153ECFF7" w14:textId="77777777" w:rsidR="00B90C79" w:rsidRPr="006F2DA1" w:rsidRDefault="00B90C79" w:rsidP="00696E3D">
      <w:pPr>
        <w:spacing w:before="120" w:after="120"/>
        <w:jc w:val="both"/>
        <w:rPr>
          <w:rFonts w:ascii="Calibri" w:hAnsi="Calibri"/>
          <w:iCs/>
          <w:sz w:val="22"/>
          <w:szCs w:val="22"/>
        </w:rPr>
      </w:pPr>
      <w:r w:rsidRPr="006F2DA1">
        <w:rPr>
          <w:rFonts w:ascii="Calibri" w:hAnsi="Calibri"/>
          <w:iCs/>
          <w:sz w:val="22"/>
          <w:szCs w:val="22"/>
        </w:rPr>
        <w:t xml:space="preserve">In </w:t>
      </w:r>
      <w:r w:rsidRPr="006F2DA1">
        <w:rPr>
          <w:rFonts w:ascii="Calibri" w:hAnsi="Calibri"/>
          <w:i/>
          <w:iCs/>
          <w:sz w:val="22"/>
          <w:szCs w:val="22"/>
        </w:rPr>
        <w:t xml:space="preserve">ACE Am. Ins. Co. v. Am. Guarantee &amp; </w:t>
      </w:r>
      <w:proofErr w:type="spellStart"/>
      <w:r w:rsidRPr="006F2DA1">
        <w:rPr>
          <w:rFonts w:ascii="Calibri" w:hAnsi="Calibri"/>
          <w:i/>
          <w:iCs/>
          <w:sz w:val="22"/>
          <w:szCs w:val="22"/>
        </w:rPr>
        <w:t>Liab</w:t>
      </w:r>
      <w:proofErr w:type="spellEnd"/>
      <w:r w:rsidRPr="006F2DA1">
        <w:rPr>
          <w:rFonts w:ascii="Calibri" w:hAnsi="Calibri"/>
          <w:i/>
          <w:iCs/>
          <w:sz w:val="22"/>
          <w:szCs w:val="22"/>
        </w:rPr>
        <w:t>. Ins. Co.</w:t>
      </w:r>
      <w:r w:rsidRPr="006F2DA1">
        <w:rPr>
          <w:rFonts w:ascii="Calibri" w:hAnsi="Calibri"/>
          <w:iCs/>
          <w:sz w:val="22"/>
          <w:szCs w:val="22"/>
        </w:rPr>
        <w:t>, 2017 WL 2840286 (S.D.</w:t>
      </w:r>
      <w:r w:rsidR="004F0F28" w:rsidRPr="006F2DA1">
        <w:rPr>
          <w:rFonts w:ascii="Calibri" w:hAnsi="Calibri"/>
          <w:iCs/>
          <w:sz w:val="22"/>
          <w:szCs w:val="22"/>
        </w:rPr>
        <w:t xml:space="preserve"> </w:t>
      </w:r>
      <w:r w:rsidRPr="006F2DA1">
        <w:rPr>
          <w:rFonts w:ascii="Calibri" w:hAnsi="Calibri"/>
          <w:iCs/>
          <w:sz w:val="22"/>
          <w:szCs w:val="22"/>
        </w:rPr>
        <w:t>N.Y. 2017), Richard Wager, an employee of Wager Contracting Company, Inc., was injured while performing demolition work for Pelham Union Free School District. Several policies covered Wager and/or Pelham:</w:t>
      </w:r>
    </w:p>
    <w:p w14:paraId="25BCFC6A" w14:textId="77777777" w:rsidR="00B90C79" w:rsidRPr="006F2DA1" w:rsidRDefault="00B90C79" w:rsidP="00696E3D">
      <w:pPr>
        <w:numPr>
          <w:ilvl w:val="0"/>
          <w:numId w:val="9"/>
        </w:numPr>
        <w:spacing w:before="120" w:after="120"/>
        <w:jc w:val="both"/>
        <w:rPr>
          <w:rFonts w:ascii="Calibri" w:hAnsi="Calibri"/>
          <w:iCs/>
          <w:sz w:val="22"/>
          <w:szCs w:val="22"/>
        </w:rPr>
      </w:pPr>
      <w:r w:rsidRPr="006F2DA1">
        <w:rPr>
          <w:rFonts w:ascii="Calibri" w:hAnsi="Calibri"/>
          <w:i/>
          <w:iCs/>
          <w:sz w:val="22"/>
          <w:szCs w:val="22"/>
        </w:rPr>
        <w:t>NGM Insurance Company</w:t>
      </w:r>
      <w:r w:rsidRPr="006F2DA1">
        <w:rPr>
          <w:rFonts w:ascii="Calibri" w:hAnsi="Calibri"/>
          <w:iCs/>
          <w:sz w:val="22"/>
          <w:szCs w:val="22"/>
        </w:rPr>
        <w:t xml:space="preserve"> had issued a $1 million primary general liability policy insuring both Wager Contractin</w:t>
      </w:r>
      <w:r w:rsidR="004F0F28" w:rsidRPr="006F2DA1">
        <w:rPr>
          <w:rFonts w:ascii="Calibri" w:hAnsi="Calibri"/>
          <w:iCs/>
          <w:sz w:val="22"/>
          <w:szCs w:val="22"/>
        </w:rPr>
        <w:t>g and Pelham. However, the NGM p</w:t>
      </w:r>
      <w:r w:rsidRPr="006F2DA1">
        <w:rPr>
          <w:rFonts w:ascii="Calibri" w:hAnsi="Calibri"/>
          <w:iCs/>
          <w:sz w:val="22"/>
          <w:szCs w:val="22"/>
        </w:rPr>
        <w:t>olicy included workers</w:t>
      </w:r>
      <w:r w:rsidR="004F0F28" w:rsidRPr="006F2DA1">
        <w:rPr>
          <w:rFonts w:ascii="Calibri" w:hAnsi="Calibri"/>
          <w:iCs/>
          <w:sz w:val="22"/>
          <w:szCs w:val="22"/>
        </w:rPr>
        <w:t>’</w:t>
      </w:r>
      <w:r w:rsidRPr="006F2DA1">
        <w:rPr>
          <w:rFonts w:ascii="Calibri" w:hAnsi="Calibri"/>
          <w:iCs/>
          <w:sz w:val="22"/>
          <w:szCs w:val="22"/>
        </w:rPr>
        <w:t xml:space="preserve"> compensation and employers</w:t>
      </w:r>
      <w:r w:rsidR="004F0F28" w:rsidRPr="006F2DA1">
        <w:rPr>
          <w:rFonts w:ascii="Calibri" w:hAnsi="Calibri"/>
          <w:iCs/>
          <w:sz w:val="22"/>
          <w:szCs w:val="22"/>
        </w:rPr>
        <w:t>’</w:t>
      </w:r>
      <w:r w:rsidRPr="006F2DA1">
        <w:rPr>
          <w:rFonts w:ascii="Calibri" w:hAnsi="Calibri"/>
          <w:iCs/>
          <w:sz w:val="22"/>
          <w:szCs w:val="22"/>
        </w:rPr>
        <w:t xml:space="preserve"> liability exclusions that, in general, barred coverage to Wager Contracting for employees</w:t>
      </w:r>
      <w:r w:rsidR="004F0F28" w:rsidRPr="006F2DA1">
        <w:rPr>
          <w:rFonts w:ascii="Calibri" w:hAnsi="Calibri"/>
          <w:iCs/>
          <w:sz w:val="22"/>
          <w:szCs w:val="22"/>
        </w:rPr>
        <w:t>’</w:t>
      </w:r>
      <w:r w:rsidRPr="006F2DA1">
        <w:rPr>
          <w:rFonts w:ascii="Calibri" w:hAnsi="Calibri"/>
          <w:iCs/>
          <w:sz w:val="22"/>
          <w:szCs w:val="22"/>
        </w:rPr>
        <w:t xml:space="preserve"> bodily injuries unless Wager Contracting had assumed that liability by contract. In this case, however, Wager Contracting had assumed such liability by contract with Pelham. </w:t>
      </w:r>
    </w:p>
    <w:p w14:paraId="5E2C457F" w14:textId="77777777" w:rsidR="00B90C79" w:rsidRPr="006F2DA1" w:rsidRDefault="00B90C79" w:rsidP="00696E3D">
      <w:pPr>
        <w:numPr>
          <w:ilvl w:val="0"/>
          <w:numId w:val="9"/>
        </w:numPr>
        <w:spacing w:before="120" w:after="120"/>
        <w:jc w:val="both"/>
        <w:rPr>
          <w:rFonts w:ascii="Calibri" w:hAnsi="Calibri"/>
          <w:iCs/>
          <w:sz w:val="22"/>
          <w:szCs w:val="22"/>
        </w:rPr>
      </w:pPr>
      <w:r w:rsidRPr="006F2DA1">
        <w:rPr>
          <w:rFonts w:ascii="Calibri" w:hAnsi="Calibri"/>
          <w:i/>
          <w:iCs/>
          <w:sz w:val="22"/>
          <w:szCs w:val="22"/>
        </w:rPr>
        <w:t>American Guarantee</w:t>
      </w:r>
      <w:r w:rsidRPr="006F2DA1">
        <w:rPr>
          <w:rFonts w:ascii="Calibri" w:hAnsi="Calibri"/>
          <w:iCs/>
          <w:sz w:val="22"/>
          <w:szCs w:val="22"/>
        </w:rPr>
        <w:t xml:space="preserve"> had issued a $5 million Commercial Umbrella Liability Policy covering both Wager and Pelham. The American Guarantee policy was excess to the NGM Policy, to which the American Guarantee policy “followed form.” In other words, the American Guarantee policy ad</w:t>
      </w:r>
      <w:r w:rsidR="009E21B2" w:rsidRPr="006F2DA1">
        <w:rPr>
          <w:rFonts w:ascii="Calibri" w:hAnsi="Calibri"/>
          <w:iCs/>
          <w:sz w:val="22"/>
          <w:szCs w:val="22"/>
        </w:rPr>
        <w:t>opted in general the NGM policy’</w:t>
      </w:r>
      <w:r w:rsidRPr="006F2DA1">
        <w:rPr>
          <w:rFonts w:ascii="Calibri" w:hAnsi="Calibri"/>
          <w:iCs/>
          <w:sz w:val="22"/>
          <w:szCs w:val="22"/>
        </w:rPr>
        <w:t>s underlying substantive terms and thus provided the same basic coverage at the excess layer.</w:t>
      </w:r>
    </w:p>
    <w:p w14:paraId="637314EB" w14:textId="77777777" w:rsidR="00B90C79" w:rsidRPr="006F2DA1" w:rsidRDefault="00B90C79" w:rsidP="00696E3D">
      <w:pPr>
        <w:numPr>
          <w:ilvl w:val="0"/>
          <w:numId w:val="9"/>
        </w:numPr>
        <w:spacing w:before="120" w:after="120"/>
        <w:jc w:val="both"/>
        <w:rPr>
          <w:rFonts w:ascii="Calibri" w:hAnsi="Calibri"/>
          <w:iCs/>
          <w:sz w:val="22"/>
          <w:szCs w:val="22"/>
        </w:rPr>
      </w:pPr>
      <w:r w:rsidRPr="006F2DA1">
        <w:rPr>
          <w:rFonts w:ascii="Calibri" w:hAnsi="Calibri"/>
          <w:i/>
          <w:iCs/>
          <w:sz w:val="22"/>
          <w:szCs w:val="22"/>
        </w:rPr>
        <w:t>New York Schools Insurance Reciprocal</w:t>
      </w:r>
      <w:r w:rsidRPr="006F2DA1">
        <w:rPr>
          <w:rFonts w:ascii="Calibri" w:hAnsi="Calibri"/>
          <w:iCs/>
          <w:sz w:val="22"/>
          <w:szCs w:val="22"/>
        </w:rPr>
        <w:t xml:space="preserve"> (</w:t>
      </w:r>
      <w:r w:rsidR="006A4B98">
        <w:rPr>
          <w:rFonts w:ascii="Calibri" w:hAnsi="Calibri"/>
          <w:iCs/>
          <w:sz w:val="22"/>
          <w:szCs w:val="22"/>
        </w:rPr>
        <w:t>“</w:t>
      </w:r>
      <w:r w:rsidRPr="006F2DA1">
        <w:rPr>
          <w:rFonts w:ascii="Calibri" w:hAnsi="Calibri"/>
          <w:iCs/>
          <w:sz w:val="22"/>
          <w:szCs w:val="22"/>
        </w:rPr>
        <w:t>NYSIR</w:t>
      </w:r>
      <w:r w:rsidR="006A4B98">
        <w:rPr>
          <w:rFonts w:ascii="Calibri" w:hAnsi="Calibri"/>
          <w:iCs/>
          <w:sz w:val="22"/>
          <w:szCs w:val="22"/>
        </w:rPr>
        <w:t>”</w:t>
      </w:r>
      <w:r w:rsidRPr="006F2DA1">
        <w:rPr>
          <w:rFonts w:ascii="Calibri" w:hAnsi="Calibri"/>
          <w:iCs/>
          <w:sz w:val="22"/>
          <w:szCs w:val="22"/>
        </w:rPr>
        <w:t xml:space="preserve">) provided insurance to Pelham with limits of $1 million primary and $15 million excess. </w:t>
      </w:r>
    </w:p>
    <w:p w14:paraId="50F657E8" w14:textId="77777777" w:rsidR="00B90C79" w:rsidRPr="006F2DA1" w:rsidRDefault="00B90C79" w:rsidP="00696E3D">
      <w:pPr>
        <w:numPr>
          <w:ilvl w:val="0"/>
          <w:numId w:val="9"/>
        </w:numPr>
        <w:spacing w:before="120" w:after="120"/>
        <w:jc w:val="both"/>
        <w:rPr>
          <w:rFonts w:ascii="Calibri" w:hAnsi="Calibri"/>
          <w:iCs/>
          <w:sz w:val="22"/>
          <w:szCs w:val="22"/>
        </w:rPr>
      </w:pPr>
      <w:r w:rsidRPr="006F2DA1">
        <w:rPr>
          <w:rFonts w:ascii="Calibri" w:hAnsi="Calibri"/>
          <w:i/>
          <w:iCs/>
          <w:sz w:val="22"/>
          <w:szCs w:val="22"/>
        </w:rPr>
        <w:t>ACE American</w:t>
      </w:r>
      <w:r w:rsidRPr="006F2DA1">
        <w:rPr>
          <w:rFonts w:ascii="Calibri" w:hAnsi="Calibri"/>
          <w:iCs/>
          <w:sz w:val="22"/>
          <w:szCs w:val="22"/>
        </w:rPr>
        <w:t xml:space="preserve"> </w:t>
      </w:r>
      <w:r w:rsidR="009E21B2" w:rsidRPr="006F2DA1">
        <w:rPr>
          <w:rFonts w:ascii="Calibri" w:hAnsi="Calibri"/>
          <w:iCs/>
          <w:sz w:val="22"/>
          <w:szCs w:val="22"/>
        </w:rPr>
        <w:t>issued a Specific Excess Workers’</w:t>
      </w:r>
      <w:r w:rsidRPr="006F2DA1">
        <w:rPr>
          <w:rFonts w:ascii="Calibri" w:hAnsi="Calibri"/>
          <w:iCs/>
          <w:sz w:val="22"/>
          <w:szCs w:val="22"/>
        </w:rPr>
        <w:t xml:space="preserve"> Compensation and Employers</w:t>
      </w:r>
      <w:r w:rsidR="009E21B2" w:rsidRPr="006F2DA1">
        <w:rPr>
          <w:rFonts w:ascii="Calibri" w:hAnsi="Calibri"/>
          <w:iCs/>
          <w:sz w:val="22"/>
          <w:szCs w:val="22"/>
        </w:rPr>
        <w:t>’</w:t>
      </w:r>
      <w:r w:rsidRPr="006F2DA1">
        <w:rPr>
          <w:rFonts w:ascii="Calibri" w:hAnsi="Calibri"/>
          <w:iCs/>
          <w:sz w:val="22"/>
          <w:szCs w:val="22"/>
        </w:rPr>
        <w:t xml:space="preserve"> Liability Insurance policy covering Wager This policy was issued to the Special Trades Contracting and Construction Trust, a group self-insurance program authorized by the New York Workers</w:t>
      </w:r>
      <w:r w:rsidR="009E21B2" w:rsidRPr="006F2DA1">
        <w:rPr>
          <w:rFonts w:ascii="Calibri" w:hAnsi="Calibri"/>
          <w:iCs/>
          <w:sz w:val="22"/>
          <w:szCs w:val="22"/>
        </w:rPr>
        <w:t>’</w:t>
      </w:r>
      <w:r w:rsidRPr="006F2DA1">
        <w:rPr>
          <w:rFonts w:ascii="Calibri" w:hAnsi="Calibri"/>
          <w:iCs/>
          <w:sz w:val="22"/>
          <w:szCs w:val="22"/>
        </w:rPr>
        <w:t xml:space="preserve"> Compensation Law. Wager was a participant in Specia</w:t>
      </w:r>
      <w:r w:rsidR="009E21B2" w:rsidRPr="006F2DA1">
        <w:rPr>
          <w:rFonts w:ascii="Calibri" w:hAnsi="Calibri"/>
          <w:iCs/>
          <w:sz w:val="22"/>
          <w:szCs w:val="22"/>
        </w:rPr>
        <w:t>l</w:t>
      </w:r>
      <w:r w:rsidRPr="006F2DA1">
        <w:rPr>
          <w:rFonts w:ascii="Calibri" w:hAnsi="Calibri"/>
          <w:iCs/>
          <w:sz w:val="22"/>
          <w:szCs w:val="22"/>
        </w:rPr>
        <w:t xml:space="preserve"> Trades, and hence was covered under the ACE policy. The ACE policy was excess to Special Trades</w:t>
      </w:r>
      <w:r w:rsidR="009E21B2" w:rsidRPr="006F2DA1">
        <w:rPr>
          <w:rFonts w:ascii="Calibri" w:hAnsi="Calibri"/>
          <w:iCs/>
          <w:sz w:val="22"/>
          <w:szCs w:val="22"/>
        </w:rPr>
        <w:t>’</w:t>
      </w:r>
      <w:r w:rsidRPr="006F2DA1">
        <w:rPr>
          <w:rFonts w:ascii="Calibri" w:hAnsi="Calibri"/>
          <w:iCs/>
          <w:sz w:val="22"/>
          <w:szCs w:val="22"/>
        </w:rPr>
        <w:t xml:space="preserve"> $1 million workers</w:t>
      </w:r>
      <w:r w:rsidR="009E21B2" w:rsidRPr="006F2DA1">
        <w:rPr>
          <w:rFonts w:ascii="Calibri" w:hAnsi="Calibri"/>
          <w:iCs/>
          <w:sz w:val="22"/>
          <w:szCs w:val="22"/>
        </w:rPr>
        <w:t>’</w:t>
      </w:r>
      <w:r w:rsidRPr="006F2DA1">
        <w:rPr>
          <w:rFonts w:ascii="Calibri" w:hAnsi="Calibri"/>
          <w:iCs/>
          <w:sz w:val="22"/>
          <w:szCs w:val="22"/>
        </w:rPr>
        <w:t xml:space="preserve"> compensation/employers</w:t>
      </w:r>
      <w:r w:rsidR="009E21B2" w:rsidRPr="006F2DA1">
        <w:rPr>
          <w:rFonts w:ascii="Calibri" w:hAnsi="Calibri"/>
          <w:iCs/>
          <w:sz w:val="22"/>
          <w:szCs w:val="22"/>
        </w:rPr>
        <w:t>’</w:t>
      </w:r>
      <w:r w:rsidRPr="006F2DA1">
        <w:rPr>
          <w:rFonts w:ascii="Calibri" w:hAnsi="Calibri"/>
          <w:iCs/>
          <w:sz w:val="22"/>
          <w:szCs w:val="22"/>
        </w:rPr>
        <w:t xml:space="preserve"> liability self-insured retention Theoretically, the ACE Policy provided unlimited workers</w:t>
      </w:r>
      <w:r w:rsidR="009E21B2" w:rsidRPr="006F2DA1">
        <w:rPr>
          <w:rFonts w:ascii="Calibri" w:hAnsi="Calibri"/>
          <w:iCs/>
          <w:sz w:val="22"/>
          <w:szCs w:val="22"/>
        </w:rPr>
        <w:t>’</w:t>
      </w:r>
      <w:r w:rsidRPr="006F2DA1">
        <w:rPr>
          <w:rFonts w:ascii="Calibri" w:hAnsi="Calibri"/>
          <w:iCs/>
          <w:sz w:val="22"/>
          <w:szCs w:val="22"/>
        </w:rPr>
        <w:t xml:space="preserve"> compensation and employers</w:t>
      </w:r>
      <w:r w:rsidR="009E21B2" w:rsidRPr="006F2DA1">
        <w:rPr>
          <w:rFonts w:ascii="Calibri" w:hAnsi="Calibri"/>
          <w:iCs/>
          <w:sz w:val="22"/>
          <w:szCs w:val="22"/>
        </w:rPr>
        <w:t>’</w:t>
      </w:r>
      <w:r w:rsidRPr="006F2DA1">
        <w:rPr>
          <w:rFonts w:ascii="Calibri" w:hAnsi="Calibri"/>
          <w:iCs/>
          <w:sz w:val="22"/>
          <w:szCs w:val="22"/>
        </w:rPr>
        <w:t xml:space="preserve"> liability coverage. However, the ACE policy purported to limit its coverage to</w:t>
      </w:r>
      <w:r w:rsidR="009E21B2" w:rsidRPr="006F2DA1">
        <w:rPr>
          <w:rFonts w:ascii="Calibri" w:hAnsi="Calibri"/>
          <w:iCs/>
          <w:sz w:val="22"/>
          <w:szCs w:val="22"/>
        </w:rPr>
        <w:t xml:space="preserve"> </w:t>
      </w:r>
      <w:r w:rsidRPr="006F2DA1">
        <w:rPr>
          <w:rFonts w:ascii="Calibri" w:hAnsi="Calibri"/>
          <w:iCs/>
          <w:sz w:val="22"/>
          <w:szCs w:val="22"/>
        </w:rPr>
        <w:t>“damages imposed upon Wager by law,” as opposed to liabili</w:t>
      </w:r>
      <w:r w:rsidR="009E21B2" w:rsidRPr="006F2DA1">
        <w:rPr>
          <w:rFonts w:ascii="Calibri" w:hAnsi="Calibri"/>
          <w:iCs/>
          <w:sz w:val="22"/>
          <w:szCs w:val="22"/>
        </w:rPr>
        <w:t>ties assumed by contract.</w:t>
      </w:r>
    </w:p>
    <w:p w14:paraId="159745A3" w14:textId="2A12D211" w:rsidR="00B90C79" w:rsidRPr="006F2DA1" w:rsidRDefault="00B90C79" w:rsidP="00696E3D">
      <w:pPr>
        <w:spacing w:before="120" w:after="120"/>
        <w:jc w:val="both"/>
        <w:rPr>
          <w:rFonts w:ascii="Calibri" w:hAnsi="Calibri"/>
          <w:iCs/>
          <w:sz w:val="22"/>
          <w:szCs w:val="22"/>
        </w:rPr>
      </w:pPr>
      <w:r w:rsidRPr="006F2DA1">
        <w:rPr>
          <w:rFonts w:ascii="Calibri" w:hAnsi="Calibri"/>
          <w:iCs/>
          <w:sz w:val="22"/>
          <w:szCs w:val="22"/>
        </w:rPr>
        <w:t xml:space="preserve">The </w:t>
      </w:r>
      <w:r w:rsidR="00CB4E2F">
        <w:rPr>
          <w:rFonts w:ascii="Calibri" w:hAnsi="Calibri"/>
          <w:iCs/>
          <w:sz w:val="22"/>
          <w:szCs w:val="22"/>
        </w:rPr>
        <w:t>gist of this case</w:t>
      </w:r>
      <w:r w:rsidRPr="006F2DA1">
        <w:rPr>
          <w:rFonts w:ascii="Calibri" w:hAnsi="Calibri"/>
          <w:iCs/>
          <w:sz w:val="22"/>
          <w:szCs w:val="22"/>
        </w:rPr>
        <w:t xml:space="preserve"> was that Pelham was covered by the NYSIR policy ($1 million primary/$15 million excess), by the NGM policy ($1 million primary), and by the American Guarantee policy</w:t>
      </w:r>
      <w:r w:rsidR="009E21B2" w:rsidRPr="006F2DA1">
        <w:rPr>
          <w:rFonts w:ascii="Calibri" w:hAnsi="Calibri"/>
          <w:iCs/>
          <w:sz w:val="22"/>
          <w:szCs w:val="22"/>
        </w:rPr>
        <w:t xml:space="preserve"> ($5 million excess to the NGM p</w:t>
      </w:r>
      <w:r w:rsidRPr="006F2DA1">
        <w:rPr>
          <w:rFonts w:ascii="Calibri" w:hAnsi="Calibri"/>
          <w:iCs/>
          <w:sz w:val="22"/>
          <w:szCs w:val="22"/>
        </w:rPr>
        <w:t>olicy). Wager Contracting was covered, as to workers</w:t>
      </w:r>
      <w:r w:rsidR="009E21B2" w:rsidRPr="006F2DA1">
        <w:rPr>
          <w:rFonts w:ascii="Calibri" w:hAnsi="Calibri"/>
          <w:iCs/>
          <w:sz w:val="22"/>
          <w:szCs w:val="22"/>
        </w:rPr>
        <w:t>’</w:t>
      </w:r>
      <w:r w:rsidRPr="006F2DA1">
        <w:rPr>
          <w:rFonts w:ascii="Calibri" w:hAnsi="Calibri"/>
          <w:iCs/>
          <w:sz w:val="22"/>
          <w:szCs w:val="22"/>
        </w:rPr>
        <w:t xml:space="preserve"> compensation/employers</w:t>
      </w:r>
      <w:r w:rsidR="009E21B2" w:rsidRPr="006F2DA1">
        <w:rPr>
          <w:rFonts w:ascii="Calibri" w:hAnsi="Calibri"/>
          <w:iCs/>
          <w:sz w:val="22"/>
          <w:szCs w:val="22"/>
        </w:rPr>
        <w:t>’</w:t>
      </w:r>
      <w:r w:rsidRPr="006F2DA1">
        <w:rPr>
          <w:rFonts w:ascii="Calibri" w:hAnsi="Calibri"/>
          <w:iCs/>
          <w:sz w:val="22"/>
          <w:szCs w:val="22"/>
        </w:rPr>
        <w:t xml:space="preserve"> liability claims, by the $1 million SIR and by the ACE Policy (unlimited excess to the SIR), and, for</w:t>
      </w:r>
      <w:r w:rsidR="009E21B2" w:rsidRPr="006F2DA1">
        <w:rPr>
          <w:rFonts w:ascii="Calibri" w:hAnsi="Calibri"/>
          <w:iCs/>
          <w:sz w:val="22"/>
          <w:szCs w:val="22"/>
        </w:rPr>
        <w:t xml:space="preserve"> general liability, by the NGM p</w:t>
      </w:r>
      <w:r w:rsidRPr="006F2DA1">
        <w:rPr>
          <w:rFonts w:ascii="Calibri" w:hAnsi="Calibri"/>
          <w:iCs/>
          <w:sz w:val="22"/>
          <w:szCs w:val="22"/>
        </w:rPr>
        <w:t>olicy ($1 million primary) and by the American Guarantee policy ($5 million excess to the NGM policy). To complicate matters further, these policies covered bodily injuries under different (and sometimes mutually exclusive) theories of liability. For example, the American Guarantee policy excluded from coverage liability for bodily injury based on a theory of common-law indemnity, whereas the ACE Policy by implication excluded from coverage liability for bodily injury based on a theory of contractual indemnity.</w:t>
      </w:r>
      <w:r w:rsidR="009E21B2" w:rsidRPr="006F2DA1">
        <w:rPr>
          <w:rFonts w:ascii="Calibri" w:hAnsi="Calibri"/>
          <w:iCs/>
          <w:sz w:val="22"/>
          <w:szCs w:val="22"/>
        </w:rPr>
        <w:t xml:space="preserve"> </w:t>
      </w:r>
      <w:r w:rsidRPr="006F2DA1">
        <w:rPr>
          <w:rFonts w:ascii="Calibri" w:hAnsi="Calibri"/>
          <w:iCs/>
          <w:sz w:val="22"/>
          <w:szCs w:val="22"/>
        </w:rPr>
        <w:t xml:space="preserve">In the third-party action, the dispositive issue in </w:t>
      </w:r>
      <w:r w:rsidR="009E21B2" w:rsidRPr="006F2DA1">
        <w:rPr>
          <w:rFonts w:ascii="Calibri" w:hAnsi="Calibri"/>
          <w:iCs/>
          <w:sz w:val="22"/>
          <w:szCs w:val="22"/>
        </w:rPr>
        <w:t>this case is whether New York’</w:t>
      </w:r>
      <w:r w:rsidRPr="006F2DA1">
        <w:rPr>
          <w:rFonts w:ascii="Calibri" w:hAnsi="Calibri"/>
          <w:iCs/>
          <w:sz w:val="22"/>
          <w:szCs w:val="22"/>
        </w:rPr>
        <w:t xml:space="preserve">s </w:t>
      </w:r>
      <w:r w:rsidR="009E21B2" w:rsidRPr="006F2DA1">
        <w:rPr>
          <w:rFonts w:ascii="Calibri" w:hAnsi="Calibri"/>
          <w:iCs/>
          <w:sz w:val="22"/>
          <w:szCs w:val="22"/>
        </w:rPr>
        <w:t xml:space="preserve">ASR </w:t>
      </w:r>
      <w:r w:rsidRPr="006F2DA1">
        <w:rPr>
          <w:rFonts w:ascii="Calibri" w:hAnsi="Calibri"/>
          <w:iCs/>
          <w:sz w:val="22"/>
          <w:szCs w:val="22"/>
        </w:rPr>
        <w:t>prevented American Guarantee from bringing an indemnity claim as the subrogee of one of American Guarantee</w:t>
      </w:r>
      <w:r w:rsidR="009E21B2" w:rsidRPr="006F2DA1">
        <w:rPr>
          <w:rFonts w:ascii="Calibri" w:hAnsi="Calibri"/>
          <w:iCs/>
          <w:sz w:val="22"/>
          <w:szCs w:val="22"/>
        </w:rPr>
        <w:t>’</w:t>
      </w:r>
      <w:r w:rsidRPr="006F2DA1">
        <w:rPr>
          <w:rFonts w:ascii="Calibri" w:hAnsi="Calibri"/>
          <w:iCs/>
          <w:sz w:val="22"/>
          <w:szCs w:val="22"/>
        </w:rPr>
        <w:t>s insureds, Pelham, against Wager Contracting, another of American Guarantee</w:t>
      </w:r>
      <w:r w:rsidR="009E21B2" w:rsidRPr="006F2DA1">
        <w:rPr>
          <w:rFonts w:ascii="Calibri" w:hAnsi="Calibri"/>
          <w:iCs/>
          <w:sz w:val="22"/>
          <w:szCs w:val="22"/>
        </w:rPr>
        <w:t>’</w:t>
      </w:r>
      <w:r w:rsidRPr="006F2DA1">
        <w:rPr>
          <w:rFonts w:ascii="Calibri" w:hAnsi="Calibri"/>
          <w:iCs/>
          <w:sz w:val="22"/>
          <w:szCs w:val="22"/>
        </w:rPr>
        <w:t>s insureds, Wager Contracting. If such a claim is permitted under New York state law, then American Guarantee may shift its liability for Richard Wager</w:t>
      </w:r>
      <w:r w:rsidR="009E21B2" w:rsidRPr="006F2DA1">
        <w:rPr>
          <w:rFonts w:ascii="Calibri" w:hAnsi="Calibri"/>
          <w:iCs/>
          <w:sz w:val="22"/>
          <w:szCs w:val="22"/>
        </w:rPr>
        <w:t>’</w:t>
      </w:r>
      <w:r w:rsidRPr="006F2DA1">
        <w:rPr>
          <w:rFonts w:ascii="Calibri" w:hAnsi="Calibri"/>
          <w:iCs/>
          <w:sz w:val="22"/>
          <w:szCs w:val="22"/>
        </w:rPr>
        <w:t>s injury</w:t>
      </w:r>
      <w:r w:rsidR="009E21B2" w:rsidRPr="006F2DA1">
        <w:rPr>
          <w:rFonts w:ascii="Calibri" w:hAnsi="Calibri"/>
          <w:iCs/>
          <w:sz w:val="22"/>
          <w:szCs w:val="22"/>
        </w:rPr>
        <w:t xml:space="preserve">, </w:t>
      </w:r>
      <w:r w:rsidRPr="006F2DA1">
        <w:rPr>
          <w:rFonts w:ascii="Calibri" w:hAnsi="Calibri"/>
          <w:iCs/>
          <w:sz w:val="22"/>
          <w:szCs w:val="22"/>
        </w:rPr>
        <w:t>which American Guarantee incurred through insuring Pelham</w:t>
      </w:r>
      <w:r w:rsidR="009E21B2" w:rsidRPr="006F2DA1">
        <w:rPr>
          <w:rFonts w:ascii="Calibri" w:hAnsi="Calibri"/>
          <w:iCs/>
          <w:sz w:val="22"/>
          <w:szCs w:val="22"/>
        </w:rPr>
        <w:t xml:space="preserve">, </w:t>
      </w:r>
      <w:r w:rsidRPr="006F2DA1">
        <w:rPr>
          <w:rFonts w:ascii="Calibri" w:hAnsi="Calibri"/>
          <w:iCs/>
          <w:sz w:val="22"/>
          <w:szCs w:val="22"/>
        </w:rPr>
        <w:t>to Wager and, potentially, to ACE, the real party in interest.</w:t>
      </w:r>
      <w:r w:rsidR="009E21B2" w:rsidRPr="006F2DA1">
        <w:rPr>
          <w:rFonts w:ascii="Calibri" w:hAnsi="Calibri"/>
          <w:iCs/>
          <w:sz w:val="22"/>
          <w:szCs w:val="22"/>
        </w:rPr>
        <w:t xml:space="preserve"> </w:t>
      </w:r>
      <w:r w:rsidRPr="006F2DA1">
        <w:rPr>
          <w:rFonts w:ascii="Calibri" w:hAnsi="Calibri"/>
          <w:iCs/>
          <w:sz w:val="22"/>
          <w:szCs w:val="22"/>
        </w:rPr>
        <w:t>If such a claim is barred under New York state law, however, then American Guarantee is stuck with the $5 million liability.</w:t>
      </w:r>
    </w:p>
    <w:p w14:paraId="67573656" w14:textId="728E4CCA" w:rsidR="00B90C79" w:rsidRDefault="00B90C79" w:rsidP="00411371">
      <w:pPr>
        <w:spacing w:before="120" w:after="120"/>
        <w:jc w:val="both"/>
        <w:rPr>
          <w:rFonts w:ascii="Calibri" w:hAnsi="Calibri"/>
          <w:iCs/>
          <w:sz w:val="22"/>
          <w:szCs w:val="22"/>
        </w:rPr>
      </w:pPr>
      <w:r w:rsidRPr="006F2DA1">
        <w:rPr>
          <w:rFonts w:ascii="Calibri" w:hAnsi="Calibri"/>
          <w:iCs/>
          <w:sz w:val="22"/>
          <w:szCs w:val="22"/>
        </w:rPr>
        <w:t xml:space="preserve">New York has </w:t>
      </w:r>
      <w:r w:rsidR="00411371">
        <w:rPr>
          <w:rFonts w:ascii="Calibri" w:hAnsi="Calibri"/>
          <w:iCs/>
          <w:sz w:val="22"/>
          <w:szCs w:val="22"/>
        </w:rPr>
        <w:t xml:space="preserve">also </w:t>
      </w:r>
      <w:r w:rsidRPr="006F2DA1">
        <w:rPr>
          <w:rFonts w:ascii="Calibri" w:hAnsi="Calibri"/>
          <w:iCs/>
          <w:sz w:val="22"/>
          <w:szCs w:val="22"/>
        </w:rPr>
        <w:t xml:space="preserve">applied the </w:t>
      </w:r>
      <w:r w:rsidR="009E21B2" w:rsidRPr="006F2DA1">
        <w:rPr>
          <w:rFonts w:ascii="Calibri" w:hAnsi="Calibri"/>
          <w:iCs/>
          <w:sz w:val="22"/>
          <w:szCs w:val="22"/>
        </w:rPr>
        <w:t>ASR</w:t>
      </w:r>
      <w:r w:rsidRPr="006F2DA1">
        <w:rPr>
          <w:rFonts w:ascii="Calibri" w:hAnsi="Calibri"/>
          <w:iCs/>
          <w:sz w:val="22"/>
          <w:szCs w:val="22"/>
        </w:rPr>
        <w:t xml:space="preserve"> to block indemnity claims brought by excess insurers such as American Guarantee. </w:t>
      </w:r>
      <w:r w:rsidRPr="006F2DA1">
        <w:rPr>
          <w:rFonts w:ascii="Calibri" w:hAnsi="Calibri"/>
          <w:i/>
          <w:iCs/>
          <w:sz w:val="22"/>
          <w:szCs w:val="22"/>
        </w:rPr>
        <w:t xml:space="preserve">Jefferson Ins. Co. of N.Y. v. Travelers </w:t>
      </w:r>
      <w:proofErr w:type="spellStart"/>
      <w:r w:rsidRPr="006F2DA1">
        <w:rPr>
          <w:rFonts w:ascii="Calibri" w:hAnsi="Calibri"/>
          <w:i/>
          <w:iCs/>
          <w:sz w:val="22"/>
          <w:szCs w:val="22"/>
        </w:rPr>
        <w:t>Indem</w:t>
      </w:r>
      <w:proofErr w:type="spellEnd"/>
      <w:r w:rsidRPr="006F2DA1">
        <w:rPr>
          <w:rFonts w:ascii="Calibri" w:hAnsi="Calibri"/>
          <w:i/>
          <w:iCs/>
          <w:sz w:val="22"/>
          <w:szCs w:val="22"/>
        </w:rPr>
        <w:t>. Co</w:t>
      </w:r>
      <w:r w:rsidRPr="006F2DA1">
        <w:rPr>
          <w:rFonts w:ascii="Calibri" w:hAnsi="Calibri"/>
          <w:iCs/>
          <w:sz w:val="22"/>
          <w:szCs w:val="22"/>
        </w:rPr>
        <w:t>., 703 N.E.2d 1221 (N.Y. 1998)</w:t>
      </w:r>
      <w:r w:rsidR="00411371">
        <w:rPr>
          <w:rFonts w:ascii="Calibri" w:hAnsi="Calibri"/>
          <w:iCs/>
          <w:sz w:val="22"/>
          <w:szCs w:val="22"/>
        </w:rPr>
        <w:t xml:space="preserve">; </w:t>
      </w:r>
      <w:r w:rsidR="00411371" w:rsidRPr="005B53F2">
        <w:rPr>
          <w:rFonts w:ascii="Calibri" w:hAnsi="Calibri"/>
          <w:i/>
          <w:sz w:val="22"/>
          <w:szCs w:val="22"/>
        </w:rPr>
        <w:t>Ortiz v. Natl. Grid Services Inc</w:t>
      </w:r>
      <w:r w:rsidR="00411371" w:rsidRPr="00411371">
        <w:rPr>
          <w:rFonts w:ascii="Calibri" w:hAnsi="Calibri"/>
          <w:iCs/>
          <w:sz w:val="22"/>
          <w:szCs w:val="22"/>
        </w:rPr>
        <w:t>., 2022 WL 17411473 (N.Y. Sup. Ct. 2022)</w:t>
      </w:r>
      <w:r w:rsidRPr="006F2DA1">
        <w:rPr>
          <w:rFonts w:ascii="Calibri" w:hAnsi="Calibri"/>
          <w:iCs/>
          <w:sz w:val="22"/>
          <w:szCs w:val="22"/>
        </w:rPr>
        <w:t>.</w:t>
      </w:r>
      <w:r w:rsidR="009E21B2" w:rsidRPr="006F2DA1">
        <w:rPr>
          <w:rFonts w:ascii="Calibri" w:hAnsi="Calibri"/>
          <w:iCs/>
          <w:sz w:val="22"/>
          <w:szCs w:val="22"/>
        </w:rPr>
        <w:t xml:space="preserve"> </w:t>
      </w:r>
      <w:r w:rsidRPr="005B53F2">
        <w:rPr>
          <w:rFonts w:ascii="Calibri" w:hAnsi="Calibri"/>
          <w:i/>
          <w:sz w:val="22"/>
          <w:szCs w:val="22"/>
        </w:rPr>
        <w:t>American Guarantee</w:t>
      </w:r>
      <w:r w:rsidRPr="006F2DA1">
        <w:rPr>
          <w:rFonts w:ascii="Calibri" w:hAnsi="Calibri"/>
          <w:iCs/>
          <w:sz w:val="22"/>
          <w:szCs w:val="22"/>
        </w:rPr>
        <w:t xml:space="preserve"> argues that the </w:t>
      </w:r>
      <w:r w:rsidR="009E21B2" w:rsidRPr="006F2DA1">
        <w:rPr>
          <w:rFonts w:ascii="Calibri" w:hAnsi="Calibri"/>
          <w:iCs/>
          <w:sz w:val="22"/>
          <w:szCs w:val="22"/>
        </w:rPr>
        <w:t>ASR</w:t>
      </w:r>
      <w:r w:rsidRPr="006F2DA1">
        <w:rPr>
          <w:rFonts w:ascii="Calibri" w:hAnsi="Calibri"/>
          <w:iCs/>
          <w:sz w:val="22"/>
          <w:szCs w:val="22"/>
        </w:rPr>
        <w:t xml:space="preserve"> does not apply because it frames this case as a coverage priority dispute that only concerns how Wager Contracting</w:t>
      </w:r>
      <w:r w:rsidR="009E21B2" w:rsidRPr="006F2DA1">
        <w:rPr>
          <w:rFonts w:ascii="Calibri" w:hAnsi="Calibri"/>
          <w:iCs/>
          <w:sz w:val="22"/>
          <w:szCs w:val="22"/>
        </w:rPr>
        <w:t>’</w:t>
      </w:r>
      <w:r w:rsidRPr="006F2DA1">
        <w:rPr>
          <w:rFonts w:ascii="Calibri" w:hAnsi="Calibri"/>
          <w:iCs/>
          <w:sz w:val="22"/>
          <w:szCs w:val="22"/>
        </w:rPr>
        <w:t>s insurers must allocate coverage among themselves. It argues t</w:t>
      </w:r>
      <w:r w:rsidR="009E21B2" w:rsidRPr="006F2DA1">
        <w:rPr>
          <w:rFonts w:ascii="Calibri" w:hAnsi="Calibri"/>
          <w:iCs/>
          <w:sz w:val="22"/>
          <w:szCs w:val="22"/>
        </w:rPr>
        <w:t>hat its policy is excess to ACE’</w:t>
      </w:r>
      <w:r w:rsidRPr="006F2DA1">
        <w:rPr>
          <w:rFonts w:ascii="Calibri" w:hAnsi="Calibri"/>
          <w:iCs/>
          <w:sz w:val="22"/>
          <w:szCs w:val="22"/>
        </w:rPr>
        <w:t>s policy, and, because the ACE Policy is unlimited for the inju</w:t>
      </w:r>
      <w:r w:rsidR="009E21B2" w:rsidRPr="006F2DA1">
        <w:rPr>
          <w:rFonts w:ascii="Calibri" w:hAnsi="Calibri"/>
          <w:iCs/>
          <w:sz w:val="22"/>
          <w:szCs w:val="22"/>
        </w:rPr>
        <w:t>ry at issue, American Guarantee’</w:t>
      </w:r>
      <w:r w:rsidRPr="006F2DA1">
        <w:rPr>
          <w:rFonts w:ascii="Calibri" w:hAnsi="Calibri"/>
          <w:iCs/>
          <w:sz w:val="22"/>
          <w:szCs w:val="22"/>
        </w:rPr>
        <w:t xml:space="preserve">s excess layer is simply never reached. The district court ruled that this case involved a carrier attempting to bring a subrogation claim on behalf of one insured against another insured. American Guarantee also argued that the ASR does not apply when the policy justifications underlying the rule are absent, as they </w:t>
      </w:r>
      <w:r w:rsidR="009E21B2" w:rsidRPr="006F2DA1">
        <w:rPr>
          <w:rFonts w:ascii="Calibri" w:hAnsi="Calibri"/>
          <w:iCs/>
          <w:sz w:val="22"/>
          <w:szCs w:val="22"/>
        </w:rPr>
        <w:t xml:space="preserve">supposedly are here. </w:t>
      </w:r>
      <w:r w:rsidRPr="006F2DA1">
        <w:rPr>
          <w:rFonts w:ascii="Calibri" w:hAnsi="Calibri"/>
          <w:iCs/>
          <w:sz w:val="22"/>
          <w:szCs w:val="22"/>
        </w:rPr>
        <w:t xml:space="preserve">New York created the </w:t>
      </w:r>
      <w:r w:rsidR="009E21B2" w:rsidRPr="006F2DA1">
        <w:rPr>
          <w:rFonts w:ascii="Calibri" w:hAnsi="Calibri"/>
          <w:iCs/>
          <w:sz w:val="22"/>
          <w:szCs w:val="22"/>
        </w:rPr>
        <w:t>ASR</w:t>
      </w:r>
      <w:r w:rsidRPr="006F2DA1">
        <w:rPr>
          <w:rFonts w:ascii="Calibri" w:hAnsi="Calibri"/>
          <w:iCs/>
          <w:sz w:val="22"/>
          <w:szCs w:val="22"/>
        </w:rPr>
        <w:t xml:space="preserve"> both to prevent the insurer from passing the loss to its own insured and to guard against the potential for conflict of inter</w:t>
      </w:r>
      <w:r w:rsidR="009E21B2" w:rsidRPr="006F2DA1">
        <w:rPr>
          <w:rFonts w:ascii="Calibri" w:hAnsi="Calibri"/>
          <w:iCs/>
          <w:sz w:val="22"/>
          <w:szCs w:val="22"/>
        </w:rPr>
        <w:t>est that may affect the insurer’</w:t>
      </w:r>
      <w:r w:rsidRPr="006F2DA1">
        <w:rPr>
          <w:rFonts w:ascii="Calibri" w:hAnsi="Calibri"/>
          <w:iCs/>
          <w:sz w:val="22"/>
          <w:szCs w:val="22"/>
        </w:rPr>
        <w:t>s incentive to provide a vigorous d</w:t>
      </w:r>
      <w:r w:rsidR="009E21B2" w:rsidRPr="006F2DA1">
        <w:rPr>
          <w:rFonts w:ascii="Calibri" w:hAnsi="Calibri"/>
          <w:iCs/>
          <w:sz w:val="22"/>
          <w:szCs w:val="22"/>
        </w:rPr>
        <w:t xml:space="preserve">efense for its insured. </w:t>
      </w:r>
      <w:r w:rsidRPr="006F2DA1">
        <w:rPr>
          <w:rFonts w:ascii="Calibri" w:hAnsi="Calibri"/>
          <w:iCs/>
          <w:sz w:val="22"/>
          <w:szCs w:val="22"/>
        </w:rPr>
        <w:t xml:space="preserve">American Guarantee argues that it was not seeking to pass its loss to its own insured because </w:t>
      </w:r>
      <w:r w:rsidR="009E21B2" w:rsidRPr="006F2DA1">
        <w:rPr>
          <w:rFonts w:ascii="Calibri" w:hAnsi="Calibri"/>
          <w:iCs/>
          <w:sz w:val="22"/>
          <w:szCs w:val="22"/>
        </w:rPr>
        <w:t>ACE’</w:t>
      </w:r>
      <w:r w:rsidRPr="006F2DA1">
        <w:rPr>
          <w:rFonts w:ascii="Calibri" w:hAnsi="Calibri"/>
          <w:iCs/>
          <w:sz w:val="22"/>
          <w:szCs w:val="22"/>
        </w:rPr>
        <w:t xml:space="preserve">s policy provided unlimited coverage for the injury, and there was no conflict of interest because American Guarantee did not control the defense of Wager or Pelham. The court held this argument not persuasive. American Guarantee was, in fact, trying to shift its liability to a policyholder that it insured for that very risk. In other words, American Guarantee, which insures Wager for bodily injuries to its employees as they arise out of contractual assumptions of liability, was trying to shift the liability for the injury to Wager </w:t>
      </w:r>
      <w:r w:rsidR="004831E5" w:rsidRPr="006F2DA1">
        <w:rPr>
          <w:rFonts w:ascii="Calibri" w:hAnsi="Calibri"/>
          <w:iCs/>
          <w:sz w:val="22"/>
          <w:szCs w:val="22"/>
        </w:rPr>
        <w:t>Contracting. American Guarantee’</w:t>
      </w:r>
      <w:r w:rsidRPr="006F2DA1">
        <w:rPr>
          <w:rFonts w:ascii="Calibri" w:hAnsi="Calibri"/>
          <w:iCs/>
          <w:sz w:val="22"/>
          <w:szCs w:val="22"/>
        </w:rPr>
        <w:t xml:space="preserve">s argument that this somehow does not implicate the </w:t>
      </w:r>
      <w:r w:rsidR="004831E5" w:rsidRPr="006F2DA1">
        <w:rPr>
          <w:rFonts w:ascii="Calibri" w:hAnsi="Calibri"/>
          <w:iCs/>
          <w:sz w:val="22"/>
          <w:szCs w:val="22"/>
        </w:rPr>
        <w:t>ASR</w:t>
      </w:r>
      <w:r w:rsidRPr="006F2DA1">
        <w:rPr>
          <w:rFonts w:ascii="Calibri" w:hAnsi="Calibri"/>
          <w:iCs/>
          <w:sz w:val="22"/>
          <w:szCs w:val="22"/>
        </w:rPr>
        <w:t xml:space="preserve"> erroneously relies on the fact that Wager was separately covered for this risk by the ACE Policy. In a</w:t>
      </w:r>
      <w:r w:rsidR="004831E5" w:rsidRPr="006F2DA1">
        <w:rPr>
          <w:rFonts w:ascii="Calibri" w:hAnsi="Calibri"/>
          <w:iCs/>
          <w:sz w:val="22"/>
          <w:szCs w:val="22"/>
        </w:rPr>
        <w:t>n</w:t>
      </w:r>
      <w:r w:rsidRPr="006F2DA1">
        <w:rPr>
          <w:rFonts w:ascii="Calibri" w:hAnsi="Calibri"/>
          <w:iCs/>
          <w:sz w:val="22"/>
          <w:szCs w:val="22"/>
        </w:rPr>
        <w:t xml:space="preserve"> ASR analysis, the relevant questio</w:t>
      </w:r>
      <w:r w:rsidR="004831E5" w:rsidRPr="006F2DA1">
        <w:rPr>
          <w:rFonts w:ascii="Calibri" w:hAnsi="Calibri"/>
          <w:iCs/>
          <w:sz w:val="22"/>
          <w:szCs w:val="22"/>
        </w:rPr>
        <w:t>n is whether the common insurer’</w:t>
      </w:r>
      <w:r w:rsidRPr="006F2DA1">
        <w:rPr>
          <w:rFonts w:ascii="Calibri" w:hAnsi="Calibri"/>
          <w:iCs/>
          <w:sz w:val="22"/>
          <w:szCs w:val="22"/>
        </w:rPr>
        <w:t>s policies respond to the underlying liability, not whether some other insurer</w:t>
      </w:r>
      <w:r w:rsidR="004831E5" w:rsidRPr="006F2DA1">
        <w:rPr>
          <w:rFonts w:ascii="Calibri" w:hAnsi="Calibri"/>
          <w:iCs/>
          <w:sz w:val="22"/>
          <w:szCs w:val="22"/>
        </w:rPr>
        <w:t>’</w:t>
      </w:r>
      <w:r w:rsidRPr="006F2DA1">
        <w:rPr>
          <w:rFonts w:ascii="Calibri" w:hAnsi="Calibri"/>
          <w:iCs/>
          <w:sz w:val="22"/>
          <w:szCs w:val="22"/>
        </w:rPr>
        <w:t>s policy happen</w:t>
      </w:r>
      <w:r w:rsidR="004831E5" w:rsidRPr="006F2DA1">
        <w:rPr>
          <w:rFonts w:ascii="Calibri" w:hAnsi="Calibri"/>
          <w:iCs/>
          <w:sz w:val="22"/>
          <w:szCs w:val="22"/>
        </w:rPr>
        <w:t>s also to respond to that risk.</w:t>
      </w:r>
      <w:r w:rsidRPr="006F2DA1">
        <w:rPr>
          <w:rFonts w:ascii="Calibri" w:hAnsi="Calibri"/>
          <w:iCs/>
          <w:sz w:val="22"/>
          <w:szCs w:val="22"/>
        </w:rPr>
        <w:t xml:space="preserve"> Accordingly, because American Guarantee insures Wager Contracting for Richard Wager</w:t>
      </w:r>
      <w:r w:rsidR="004831E5" w:rsidRPr="006F2DA1">
        <w:rPr>
          <w:rFonts w:ascii="Calibri" w:hAnsi="Calibri"/>
          <w:iCs/>
          <w:sz w:val="22"/>
          <w:szCs w:val="22"/>
        </w:rPr>
        <w:t>’</w:t>
      </w:r>
      <w:r w:rsidRPr="006F2DA1">
        <w:rPr>
          <w:rFonts w:ascii="Calibri" w:hAnsi="Calibri"/>
          <w:iCs/>
          <w:sz w:val="22"/>
          <w:szCs w:val="22"/>
        </w:rPr>
        <w:t>s injury, American</w:t>
      </w:r>
      <w:r w:rsidR="004831E5" w:rsidRPr="006F2DA1">
        <w:rPr>
          <w:rFonts w:ascii="Calibri" w:hAnsi="Calibri"/>
          <w:iCs/>
          <w:sz w:val="22"/>
          <w:szCs w:val="22"/>
        </w:rPr>
        <w:t xml:space="preserve"> </w:t>
      </w:r>
      <w:r w:rsidRPr="006F2DA1">
        <w:rPr>
          <w:rFonts w:ascii="Calibri" w:hAnsi="Calibri"/>
          <w:iCs/>
          <w:sz w:val="22"/>
          <w:szCs w:val="22"/>
        </w:rPr>
        <w:t xml:space="preserve">Guarantee’s attempt to avoid funding the settlement violated the </w:t>
      </w:r>
      <w:r w:rsidR="004831E5" w:rsidRPr="006F2DA1">
        <w:rPr>
          <w:rFonts w:ascii="Calibri" w:hAnsi="Calibri"/>
          <w:iCs/>
          <w:sz w:val="22"/>
          <w:szCs w:val="22"/>
        </w:rPr>
        <w:t>ASR</w:t>
      </w:r>
      <w:r w:rsidRPr="006F2DA1">
        <w:rPr>
          <w:rFonts w:ascii="Calibri" w:hAnsi="Calibri"/>
          <w:iCs/>
          <w:sz w:val="22"/>
          <w:szCs w:val="22"/>
        </w:rPr>
        <w:t xml:space="preserve">. </w:t>
      </w:r>
    </w:p>
    <w:p w14:paraId="1F871224" w14:textId="2A62B23D" w:rsidR="00F31F29" w:rsidRDefault="00F31F29" w:rsidP="00F31F29">
      <w:pPr>
        <w:spacing w:before="120" w:after="120"/>
        <w:jc w:val="both"/>
        <w:rPr>
          <w:rFonts w:ascii="Calibri" w:hAnsi="Calibri"/>
          <w:iCs/>
          <w:sz w:val="22"/>
          <w:szCs w:val="22"/>
        </w:rPr>
      </w:pPr>
      <w:r>
        <w:rPr>
          <w:rFonts w:ascii="Calibri" w:hAnsi="Calibri"/>
          <w:iCs/>
          <w:sz w:val="22"/>
          <w:szCs w:val="22"/>
        </w:rPr>
        <w:t xml:space="preserve">In </w:t>
      </w:r>
      <w:r w:rsidRPr="00E00CAB">
        <w:rPr>
          <w:rFonts w:ascii="Calibri" w:hAnsi="Calibri"/>
          <w:i/>
          <w:iCs/>
          <w:sz w:val="22"/>
          <w:szCs w:val="22"/>
        </w:rPr>
        <w:t>Urquia v. Deegan 135 Realty LLC</w:t>
      </w:r>
      <w:r w:rsidRPr="00E00CAB">
        <w:rPr>
          <w:rFonts w:ascii="Calibri" w:hAnsi="Calibri"/>
          <w:iCs/>
          <w:sz w:val="22"/>
          <w:szCs w:val="22"/>
        </w:rPr>
        <w:t>, 231 A.D.3d 567 (N.Y. App. Div. 2024)</w:t>
      </w:r>
      <w:r>
        <w:rPr>
          <w:rFonts w:ascii="Calibri" w:hAnsi="Calibri"/>
          <w:iCs/>
          <w:sz w:val="22"/>
          <w:szCs w:val="22"/>
        </w:rPr>
        <w:t xml:space="preserve">, Jose Urquia was injured on a job site on which the owner was Deegan 135 Realty, LLC and the general contractor was Chess Builders, LLC. Urquia sued Deegan and Chess </w:t>
      </w:r>
      <w:r w:rsidRPr="00F31F29">
        <w:rPr>
          <w:rFonts w:ascii="Calibri" w:hAnsi="Calibri"/>
          <w:iCs/>
          <w:sz w:val="22"/>
          <w:szCs w:val="22"/>
        </w:rPr>
        <w:t xml:space="preserve">alleging violation of </w:t>
      </w:r>
      <w:r>
        <w:rPr>
          <w:rFonts w:ascii="Calibri" w:hAnsi="Calibri"/>
          <w:iCs/>
          <w:sz w:val="22"/>
          <w:szCs w:val="22"/>
        </w:rPr>
        <w:t xml:space="preserve">New York’s </w:t>
      </w:r>
      <w:r w:rsidRPr="00F31F29">
        <w:rPr>
          <w:rFonts w:ascii="Calibri" w:hAnsi="Calibri"/>
          <w:iCs/>
          <w:sz w:val="22"/>
          <w:szCs w:val="22"/>
        </w:rPr>
        <w:t xml:space="preserve">scaffold law requiring owners and contractors to provide reasonable and adequate protection for workers. </w:t>
      </w:r>
      <w:r>
        <w:rPr>
          <w:rFonts w:ascii="Calibri" w:hAnsi="Calibri"/>
          <w:iCs/>
          <w:sz w:val="22"/>
          <w:szCs w:val="22"/>
        </w:rPr>
        <w:t xml:space="preserve">Deegan and Chess brought a third-party action against the subcontractor, Capital Concrete, NY, Inc., based on contractual indemnity in the construction contract and For breach of contract for failure to procure insurance. </w:t>
      </w:r>
      <w:r w:rsidRPr="00F31F29">
        <w:rPr>
          <w:rFonts w:ascii="Calibri" w:hAnsi="Calibri"/>
          <w:iCs/>
          <w:sz w:val="22"/>
          <w:szCs w:val="22"/>
        </w:rPr>
        <w:t xml:space="preserve">Owner (Deegan 135 Realty LLC) and general contractor (Chess Builders LLC ) brought third-party claims against subcontractor (Capital Concrete NY, Inc.’) for contractual indemnification and breach of contract for failure to procure insurance. </w:t>
      </w:r>
      <w:r>
        <w:rPr>
          <w:rFonts w:ascii="Calibri" w:hAnsi="Calibri"/>
          <w:iCs/>
          <w:sz w:val="22"/>
          <w:szCs w:val="22"/>
        </w:rPr>
        <w:t xml:space="preserve">The court dismissed the third-party claims because Deegan and Chess were </w:t>
      </w:r>
      <w:r w:rsidRPr="00F31F29">
        <w:rPr>
          <w:rFonts w:ascii="Calibri" w:hAnsi="Calibri"/>
          <w:iCs/>
          <w:sz w:val="22"/>
          <w:szCs w:val="22"/>
        </w:rPr>
        <w:t>named as additional insureds on Capital's Commercial General Liability policy (CGL)</w:t>
      </w:r>
      <w:r>
        <w:rPr>
          <w:rFonts w:ascii="Calibri" w:hAnsi="Calibri"/>
          <w:iCs/>
          <w:sz w:val="22"/>
          <w:szCs w:val="22"/>
        </w:rPr>
        <w:t xml:space="preserve"> policy, and the court said this was a violation of the anti-subrogation rule. </w:t>
      </w:r>
    </w:p>
    <w:p w14:paraId="17CC5CF5" w14:textId="23FA0F79" w:rsidR="00536781" w:rsidRDefault="00F31F29" w:rsidP="00696E3D">
      <w:pPr>
        <w:spacing w:before="120" w:after="120"/>
        <w:jc w:val="both"/>
        <w:rPr>
          <w:rFonts w:ascii="Calibri" w:hAnsi="Calibri"/>
          <w:iCs/>
          <w:sz w:val="22"/>
          <w:szCs w:val="22"/>
        </w:rPr>
      </w:pPr>
      <w:r>
        <w:rPr>
          <w:rFonts w:ascii="Calibri" w:hAnsi="Calibri"/>
          <w:iCs/>
          <w:sz w:val="22"/>
          <w:szCs w:val="22"/>
        </w:rPr>
        <w:t>In another case, a</w:t>
      </w:r>
      <w:r w:rsidR="000C538B" w:rsidRPr="006F2DA1">
        <w:rPr>
          <w:rFonts w:ascii="Calibri" w:hAnsi="Calibri"/>
          <w:iCs/>
          <w:sz w:val="22"/>
          <w:szCs w:val="22"/>
        </w:rPr>
        <w:t xml:space="preserve"> truck lessor, which had obtained a policy providing primary insurance coverage for leased trucks, </w:t>
      </w:r>
      <w:r w:rsidR="004831E5" w:rsidRPr="006F2DA1">
        <w:rPr>
          <w:rFonts w:ascii="Calibri" w:hAnsi="Calibri"/>
          <w:iCs/>
          <w:sz w:val="22"/>
          <w:szCs w:val="22"/>
        </w:rPr>
        <w:t xml:space="preserve">in </w:t>
      </w:r>
      <w:r w:rsidR="000C538B" w:rsidRPr="006F2DA1">
        <w:rPr>
          <w:rFonts w:ascii="Calibri" w:hAnsi="Calibri"/>
          <w:iCs/>
          <w:sz w:val="22"/>
          <w:szCs w:val="22"/>
        </w:rPr>
        <w:t xml:space="preserve">which </w:t>
      </w:r>
      <w:r w:rsidR="004831E5" w:rsidRPr="006F2DA1">
        <w:rPr>
          <w:rFonts w:ascii="Calibri" w:hAnsi="Calibri"/>
          <w:iCs/>
          <w:sz w:val="22"/>
          <w:szCs w:val="22"/>
        </w:rPr>
        <w:t xml:space="preserve">the </w:t>
      </w:r>
      <w:r w:rsidR="000C538B" w:rsidRPr="006F2DA1">
        <w:rPr>
          <w:rFonts w:ascii="Calibri" w:hAnsi="Calibri"/>
          <w:iCs/>
          <w:sz w:val="22"/>
          <w:szCs w:val="22"/>
        </w:rPr>
        <w:t xml:space="preserve">policy included </w:t>
      </w:r>
      <w:r w:rsidR="004831E5" w:rsidRPr="006F2DA1">
        <w:rPr>
          <w:rFonts w:ascii="Calibri" w:hAnsi="Calibri"/>
          <w:iCs/>
          <w:sz w:val="22"/>
          <w:szCs w:val="22"/>
        </w:rPr>
        <w:t xml:space="preserve">the </w:t>
      </w:r>
      <w:r w:rsidR="000C538B" w:rsidRPr="006F2DA1">
        <w:rPr>
          <w:rFonts w:ascii="Calibri" w:hAnsi="Calibri"/>
          <w:iCs/>
          <w:sz w:val="22"/>
          <w:szCs w:val="22"/>
        </w:rPr>
        <w:t xml:space="preserve">lessee as an insured, could not assert a subrogation or indemnification claim against the lessee on behalf of a subrogated insurer after the insurer paid a claim on behalf of lessor for </w:t>
      </w:r>
      <w:r w:rsidR="004831E5" w:rsidRPr="006F2DA1">
        <w:rPr>
          <w:rFonts w:ascii="Calibri" w:hAnsi="Calibri"/>
          <w:iCs/>
          <w:sz w:val="22"/>
          <w:szCs w:val="22"/>
        </w:rPr>
        <w:t>liability arising out of the lessee’</w:t>
      </w:r>
      <w:r w:rsidR="000C538B" w:rsidRPr="006F2DA1">
        <w:rPr>
          <w:rFonts w:ascii="Calibri" w:hAnsi="Calibri"/>
          <w:iCs/>
          <w:sz w:val="22"/>
          <w:szCs w:val="22"/>
        </w:rPr>
        <w:t xml:space="preserve">s use of vehicle, because this represented an attempt by the insurer to recover from the lessee, its insured, for the very loss for which </w:t>
      </w:r>
      <w:r w:rsidR="004831E5" w:rsidRPr="006F2DA1">
        <w:rPr>
          <w:rFonts w:ascii="Calibri" w:hAnsi="Calibri"/>
          <w:iCs/>
          <w:sz w:val="22"/>
          <w:szCs w:val="22"/>
        </w:rPr>
        <w:t xml:space="preserve">the </w:t>
      </w:r>
      <w:r w:rsidR="000C538B" w:rsidRPr="006F2DA1">
        <w:rPr>
          <w:rFonts w:ascii="Calibri" w:hAnsi="Calibri"/>
          <w:iCs/>
          <w:sz w:val="22"/>
          <w:szCs w:val="22"/>
        </w:rPr>
        <w:t xml:space="preserve">lessee was supposed to be covered. </w:t>
      </w:r>
      <w:r w:rsidR="000C538B" w:rsidRPr="006F2DA1">
        <w:rPr>
          <w:rFonts w:ascii="Calibri" w:hAnsi="Calibri"/>
          <w:i/>
          <w:iCs/>
          <w:sz w:val="22"/>
          <w:szCs w:val="22"/>
        </w:rPr>
        <w:t>Pennsylvania Gen. Ins. Co. v. Austin Powder Co.</w:t>
      </w:r>
      <w:r w:rsidR="000C538B" w:rsidRPr="006F2DA1">
        <w:rPr>
          <w:rFonts w:ascii="Calibri" w:hAnsi="Calibri"/>
          <w:iCs/>
          <w:sz w:val="22"/>
          <w:szCs w:val="22"/>
        </w:rPr>
        <w:t>, 502 N.E.2d 982 (N.Y. 1986).</w:t>
      </w:r>
      <w:r w:rsidR="004831E5" w:rsidRPr="006F2DA1">
        <w:rPr>
          <w:rFonts w:ascii="Calibri" w:hAnsi="Calibri"/>
          <w:iCs/>
          <w:sz w:val="22"/>
          <w:szCs w:val="22"/>
        </w:rPr>
        <w:t xml:space="preserve"> </w:t>
      </w:r>
      <w:r w:rsidR="00536781" w:rsidRPr="006F2DA1">
        <w:rPr>
          <w:rFonts w:ascii="Calibri" w:hAnsi="Calibri"/>
          <w:iCs/>
          <w:sz w:val="22"/>
          <w:szCs w:val="22"/>
        </w:rPr>
        <w:t xml:space="preserve">Where an insurance policy is restricted to liability for any bodily injury “caused, in whole or in part” by the “acts or omissions” of the named insured, the coverage applies to injury proximately caused by the named insured only. </w:t>
      </w:r>
      <w:r w:rsidR="00536781" w:rsidRPr="006F2DA1">
        <w:rPr>
          <w:rFonts w:ascii="Calibri" w:hAnsi="Calibri"/>
          <w:i/>
          <w:iCs/>
          <w:sz w:val="22"/>
          <w:szCs w:val="22"/>
        </w:rPr>
        <w:t>Burlington Ins. Co. v. NYC Tr. Auth.</w:t>
      </w:r>
      <w:r w:rsidR="00145BBD" w:rsidRPr="006F2DA1">
        <w:rPr>
          <w:rFonts w:ascii="Calibri" w:hAnsi="Calibri"/>
          <w:iCs/>
          <w:sz w:val="22"/>
          <w:szCs w:val="22"/>
        </w:rPr>
        <w:t>, 2017 WL 2427300 (N.Y. 2017). Therefore, where an unnamed additional insured is solely responsible for an injury, subrogation would be permissible against the unnamed additional insured as the policy would not apply to that particular injury as it only applies to injur</w:t>
      </w:r>
      <w:r w:rsidR="006F2DA1" w:rsidRPr="006F2DA1">
        <w:rPr>
          <w:rFonts w:ascii="Calibri" w:hAnsi="Calibri"/>
          <w:iCs/>
          <w:sz w:val="22"/>
          <w:szCs w:val="22"/>
        </w:rPr>
        <w:t>i</w:t>
      </w:r>
      <w:r w:rsidR="00145BBD" w:rsidRPr="006F2DA1">
        <w:rPr>
          <w:rFonts w:ascii="Calibri" w:hAnsi="Calibri"/>
          <w:iCs/>
          <w:sz w:val="22"/>
          <w:szCs w:val="22"/>
        </w:rPr>
        <w:t xml:space="preserve">es caused in some way by the named insured. </w:t>
      </w:r>
      <w:r w:rsidR="00145BBD" w:rsidRPr="006F2DA1">
        <w:rPr>
          <w:rFonts w:ascii="Calibri" w:hAnsi="Calibri"/>
          <w:i/>
          <w:iCs/>
          <w:sz w:val="22"/>
          <w:szCs w:val="22"/>
        </w:rPr>
        <w:t>Id</w:t>
      </w:r>
      <w:r w:rsidR="00145BBD" w:rsidRPr="006F2DA1">
        <w:rPr>
          <w:rFonts w:ascii="Calibri" w:hAnsi="Calibri"/>
          <w:iCs/>
          <w:sz w:val="22"/>
          <w:szCs w:val="22"/>
        </w:rPr>
        <w:t>.</w:t>
      </w:r>
    </w:p>
    <w:p w14:paraId="1616E312" w14:textId="14E5BE69" w:rsidR="007F7596" w:rsidRDefault="007F7596" w:rsidP="00696E3D">
      <w:pPr>
        <w:spacing w:before="120" w:after="120"/>
        <w:jc w:val="both"/>
        <w:rPr>
          <w:rFonts w:ascii="Calibri" w:hAnsi="Calibri"/>
          <w:iCs/>
          <w:sz w:val="22"/>
          <w:szCs w:val="22"/>
        </w:rPr>
      </w:pPr>
      <w:r>
        <w:rPr>
          <w:rFonts w:ascii="Calibri" w:hAnsi="Calibri"/>
          <w:iCs/>
          <w:sz w:val="22"/>
          <w:szCs w:val="22"/>
        </w:rPr>
        <w:t xml:space="preserve">In </w:t>
      </w:r>
      <w:r w:rsidRPr="007F7596">
        <w:rPr>
          <w:rFonts w:ascii="Calibri" w:hAnsi="Calibri"/>
          <w:i/>
          <w:iCs/>
          <w:sz w:val="22"/>
          <w:szCs w:val="22"/>
        </w:rPr>
        <w:t>Jefferson Ins. Co. of N.Y. v. Travelers Indemnity Co</w:t>
      </w:r>
      <w:r>
        <w:rPr>
          <w:rFonts w:ascii="Calibri" w:hAnsi="Calibri"/>
          <w:iCs/>
          <w:sz w:val="22"/>
          <w:szCs w:val="22"/>
        </w:rPr>
        <w:t>., 703 N.E.2d 1221 (N.Y. 1998), t</w:t>
      </w:r>
      <w:r w:rsidRPr="007F7596">
        <w:rPr>
          <w:rFonts w:ascii="Calibri" w:hAnsi="Calibri"/>
          <w:iCs/>
          <w:sz w:val="22"/>
          <w:szCs w:val="22"/>
        </w:rPr>
        <w:t xml:space="preserve">he New York Court of Appeals examined insurance policy language to determine whether the insurer could pursue a subrogation action </w:t>
      </w:r>
      <w:r>
        <w:rPr>
          <w:rFonts w:ascii="Calibri" w:hAnsi="Calibri"/>
          <w:iCs/>
          <w:sz w:val="22"/>
          <w:szCs w:val="22"/>
        </w:rPr>
        <w:t>against</w:t>
      </w:r>
      <w:r w:rsidRPr="007F7596">
        <w:rPr>
          <w:rFonts w:ascii="Calibri" w:hAnsi="Calibri"/>
          <w:iCs/>
          <w:sz w:val="22"/>
          <w:szCs w:val="22"/>
        </w:rPr>
        <w:t xml:space="preserve"> a permissive user </w:t>
      </w:r>
      <w:r>
        <w:rPr>
          <w:rFonts w:ascii="Calibri" w:hAnsi="Calibri"/>
          <w:iCs/>
          <w:sz w:val="22"/>
          <w:szCs w:val="22"/>
        </w:rPr>
        <w:t xml:space="preserve">who </w:t>
      </w:r>
      <w:r w:rsidRPr="007F7596">
        <w:rPr>
          <w:rFonts w:ascii="Calibri" w:hAnsi="Calibri"/>
          <w:iCs/>
          <w:sz w:val="22"/>
          <w:szCs w:val="22"/>
        </w:rPr>
        <w:t xml:space="preserve">caused an automobile accident. </w:t>
      </w:r>
      <w:r>
        <w:rPr>
          <w:rFonts w:ascii="Calibri" w:hAnsi="Calibri"/>
          <w:iCs/>
          <w:sz w:val="22"/>
          <w:szCs w:val="22"/>
        </w:rPr>
        <w:t>With the insured’s vehicle. T</w:t>
      </w:r>
      <w:r w:rsidRPr="007F7596">
        <w:rPr>
          <w:rFonts w:ascii="Calibri" w:hAnsi="Calibri"/>
          <w:iCs/>
          <w:sz w:val="22"/>
          <w:szCs w:val="22"/>
        </w:rPr>
        <w:t>he policy contained a clause which provided, “[a]</w:t>
      </w:r>
      <w:proofErr w:type="spellStart"/>
      <w:r w:rsidRPr="007F7596">
        <w:rPr>
          <w:rFonts w:ascii="Calibri" w:hAnsi="Calibri"/>
          <w:iCs/>
          <w:sz w:val="22"/>
          <w:szCs w:val="22"/>
        </w:rPr>
        <w:t>nyone</w:t>
      </w:r>
      <w:proofErr w:type="spellEnd"/>
      <w:r w:rsidRPr="007F7596">
        <w:rPr>
          <w:rFonts w:ascii="Calibri" w:hAnsi="Calibri"/>
          <w:iCs/>
          <w:sz w:val="22"/>
          <w:szCs w:val="22"/>
        </w:rPr>
        <w:t xml:space="preserve"> else is an insured while using with your permission a covered auto you [the named insured] own, hire or borrow.”</w:t>
      </w:r>
      <w:r w:rsidR="001C1229">
        <w:rPr>
          <w:rFonts w:ascii="Calibri" w:hAnsi="Calibri"/>
          <w:iCs/>
          <w:sz w:val="22"/>
          <w:szCs w:val="22"/>
        </w:rPr>
        <w:t xml:space="preserve"> </w:t>
      </w:r>
      <w:r w:rsidRPr="007F7596">
        <w:rPr>
          <w:rFonts w:ascii="Calibri" w:hAnsi="Calibri"/>
          <w:iCs/>
          <w:sz w:val="22"/>
          <w:szCs w:val="22"/>
        </w:rPr>
        <w:t xml:space="preserve">Because the policy “explicitly </w:t>
      </w:r>
      <w:proofErr w:type="spellStart"/>
      <w:r w:rsidRPr="007F7596">
        <w:rPr>
          <w:rFonts w:ascii="Calibri" w:hAnsi="Calibri"/>
          <w:iCs/>
          <w:sz w:val="22"/>
          <w:szCs w:val="22"/>
        </w:rPr>
        <w:t>provid</w:t>
      </w:r>
      <w:proofErr w:type="spellEnd"/>
      <w:r w:rsidRPr="007F7596">
        <w:rPr>
          <w:rFonts w:ascii="Calibri" w:hAnsi="Calibri"/>
          <w:iCs/>
          <w:sz w:val="22"/>
          <w:szCs w:val="22"/>
        </w:rPr>
        <w:t>[ed]” coverage for all permissive users, the court found that the ins</w:t>
      </w:r>
      <w:r>
        <w:rPr>
          <w:rFonts w:ascii="Calibri" w:hAnsi="Calibri"/>
          <w:iCs/>
          <w:sz w:val="22"/>
          <w:szCs w:val="22"/>
        </w:rPr>
        <w:t xml:space="preserve">urer lacked subrogation rights. </w:t>
      </w:r>
      <w:r w:rsidRPr="007F7596">
        <w:rPr>
          <w:rFonts w:ascii="Calibri" w:hAnsi="Calibri"/>
          <w:iCs/>
          <w:sz w:val="22"/>
          <w:szCs w:val="22"/>
        </w:rPr>
        <w:t xml:space="preserve">Most tellingly, the court concluded that for purposes of the </w:t>
      </w:r>
      <w:r w:rsidR="001C1229">
        <w:rPr>
          <w:rFonts w:ascii="Calibri" w:hAnsi="Calibri"/>
          <w:iCs/>
          <w:sz w:val="22"/>
          <w:szCs w:val="22"/>
        </w:rPr>
        <w:t>ASR</w:t>
      </w:r>
      <w:r w:rsidRPr="007F7596">
        <w:rPr>
          <w:rFonts w:ascii="Calibri" w:hAnsi="Calibri"/>
          <w:iCs/>
          <w:sz w:val="22"/>
          <w:szCs w:val="22"/>
        </w:rPr>
        <w:t>, there is no contrast between named insureds and permissive users “</w:t>
      </w:r>
      <w:r w:rsidRPr="007F7596">
        <w:rPr>
          <w:rFonts w:ascii="Calibri" w:hAnsi="Calibri"/>
          <w:i/>
          <w:iCs/>
          <w:sz w:val="22"/>
          <w:szCs w:val="22"/>
        </w:rPr>
        <w:t>except to the extent that the specific policy terms require [ ] a difference in treatment</w:t>
      </w:r>
      <w:r w:rsidRPr="007F7596">
        <w:rPr>
          <w:rFonts w:ascii="Calibri" w:hAnsi="Calibri"/>
          <w:iCs/>
          <w:sz w:val="22"/>
          <w:szCs w:val="22"/>
        </w:rPr>
        <w:t>.”</w:t>
      </w:r>
    </w:p>
    <w:p w14:paraId="4CC6722C" w14:textId="725E5EFF" w:rsidR="00CB4E2F" w:rsidRDefault="00CB4E2F" w:rsidP="00696E3D">
      <w:pPr>
        <w:spacing w:before="120" w:after="120"/>
        <w:jc w:val="both"/>
        <w:rPr>
          <w:rFonts w:ascii="Calibri" w:hAnsi="Calibri"/>
          <w:iCs/>
          <w:sz w:val="22"/>
          <w:szCs w:val="22"/>
        </w:rPr>
      </w:pPr>
      <w:r>
        <w:rPr>
          <w:rFonts w:ascii="Calibri" w:hAnsi="Calibri"/>
          <w:iCs/>
          <w:sz w:val="22"/>
          <w:szCs w:val="22"/>
        </w:rPr>
        <w:t>The ASR will also bar i</w:t>
      </w:r>
      <w:r w:rsidRPr="00CB4E2F">
        <w:rPr>
          <w:rFonts w:ascii="Calibri" w:hAnsi="Calibri"/>
          <w:iCs/>
          <w:sz w:val="22"/>
          <w:szCs w:val="22"/>
        </w:rPr>
        <w:t xml:space="preserve">ndemnification and contribution cross claims against </w:t>
      </w:r>
      <w:r>
        <w:rPr>
          <w:rFonts w:ascii="Calibri" w:hAnsi="Calibri"/>
          <w:iCs/>
          <w:sz w:val="22"/>
          <w:szCs w:val="22"/>
        </w:rPr>
        <w:t xml:space="preserve">a party due to </w:t>
      </w:r>
      <w:r w:rsidRPr="00CB4E2F">
        <w:rPr>
          <w:rFonts w:ascii="Calibri" w:hAnsi="Calibri"/>
          <w:iCs/>
          <w:sz w:val="22"/>
          <w:szCs w:val="22"/>
        </w:rPr>
        <w:t xml:space="preserve">the </w:t>
      </w:r>
      <w:r w:rsidR="00A864AB">
        <w:rPr>
          <w:rFonts w:ascii="Calibri" w:hAnsi="Calibri"/>
          <w:iCs/>
          <w:sz w:val="22"/>
          <w:szCs w:val="22"/>
        </w:rPr>
        <w:t>ASR when</w:t>
      </w:r>
      <w:r>
        <w:rPr>
          <w:rFonts w:ascii="Calibri" w:hAnsi="Calibri"/>
          <w:iCs/>
          <w:sz w:val="22"/>
          <w:szCs w:val="22"/>
        </w:rPr>
        <w:t xml:space="preserve"> the contribution defendant is a</w:t>
      </w:r>
      <w:r w:rsidRPr="00CB4E2F">
        <w:rPr>
          <w:rFonts w:ascii="Calibri" w:hAnsi="Calibri"/>
          <w:iCs/>
          <w:sz w:val="22"/>
          <w:szCs w:val="22"/>
        </w:rPr>
        <w:t xml:space="preserve"> named additional insured under </w:t>
      </w:r>
      <w:r>
        <w:rPr>
          <w:rFonts w:ascii="Calibri" w:hAnsi="Calibri"/>
          <w:iCs/>
          <w:sz w:val="22"/>
          <w:szCs w:val="22"/>
        </w:rPr>
        <w:t>the contribution plaintiff</w:t>
      </w:r>
      <w:r w:rsidR="00A864AB">
        <w:rPr>
          <w:rFonts w:ascii="Calibri" w:hAnsi="Calibri"/>
          <w:iCs/>
          <w:sz w:val="22"/>
          <w:szCs w:val="22"/>
        </w:rPr>
        <w:t>’</w:t>
      </w:r>
      <w:r>
        <w:rPr>
          <w:rFonts w:ascii="Calibri" w:hAnsi="Calibri"/>
          <w:iCs/>
          <w:sz w:val="22"/>
          <w:szCs w:val="22"/>
        </w:rPr>
        <w:t>s</w:t>
      </w:r>
      <w:r w:rsidRPr="00CB4E2F">
        <w:rPr>
          <w:rFonts w:ascii="Calibri" w:hAnsi="Calibri"/>
          <w:iCs/>
          <w:sz w:val="22"/>
          <w:szCs w:val="22"/>
        </w:rPr>
        <w:t xml:space="preserve"> commercial general liability insurance policy covering the work </w:t>
      </w:r>
      <w:r>
        <w:rPr>
          <w:rFonts w:ascii="Calibri" w:hAnsi="Calibri"/>
          <w:iCs/>
          <w:sz w:val="22"/>
          <w:szCs w:val="22"/>
        </w:rPr>
        <w:t xml:space="preserve">involved. </w:t>
      </w:r>
      <w:r w:rsidRPr="00CB4E2F">
        <w:rPr>
          <w:rFonts w:ascii="Calibri" w:hAnsi="Calibri"/>
          <w:i/>
          <w:iCs/>
          <w:sz w:val="22"/>
          <w:szCs w:val="22"/>
        </w:rPr>
        <w:t>Wesco Ins. Co. v. Travelers Prop. Cas. Co. of Am.</w:t>
      </w:r>
      <w:r w:rsidRPr="00CB4E2F">
        <w:rPr>
          <w:rFonts w:ascii="Calibri" w:hAnsi="Calibri"/>
          <w:iCs/>
          <w:sz w:val="22"/>
          <w:szCs w:val="22"/>
        </w:rPr>
        <w:t>, 188 A.D.3d 476, 477–78, 135 N.Y.S.3d 384 [1</w:t>
      </w:r>
      <w:r w:rsidRPr="00A864AB">
        <w:rPr>
          <w:rFonts w:ascii="Calibri" w:hAnsi="Calibri"/>
          <w:iCs/>
          <w:sz w:val="22"/>
          <w:szCs w:val="22"/>
          <w:vertAlign w:val="superscript"/>
        </w:rPr>
        <w:t>st</w:t>
      </w:r>
      <w:r w:rsidR="00A864AB">
        <w:rPr>
          <w:rFonts w:ascii="Calibri" w:hAnsi="Calibri"/>
          <w:iCs/>
          <w:sz w:val="22"/>
          <w:szCs w:val="22"/>
        </w:rPr>
        <w:t xml:space="preserve"> </w:t>
      </w:r>
      <w:r w:rsidRPr="00CB4E2F">
        <w:rPr>
          <w:rFonts w:ascii="Calibri" w:hAnsi="Calibri"/>
          <w:iCs/>
          <w:sz w:val="22"/>
          <w:szCs w:val="22"/>
        </w:rPr>
        <w:t>Dept. 2020)</w:t>
      </w:r>
      <w:r w:rsidR="00A864AB">
        <w:rPr>
          <w:rFonts w:ascii="Calibri" w:hAnsi="Calibri"/>
          <w:iCs/>
          <w:sz w:val="22"/>
          <w:szCs w:val="22"/>
        </w:rPr>
        <w:t>;</w:t>
      </w:r>
      <w:r>
        <w:rPr>
          <w:rFonts w:ascii="Calibri" w:hAnsi="Calibri"/>
          <w:iCs/>
          <w:sz w:val="22"/>
          <w:szCs w:val="22"/>
        </w:rPr>
        <w:t xml:space="preserve"> </w:t>
      </w:r>
      <w:r w:rsidRPr="00CB4E2F">
        <w:rPr>
          <w:rFonts w:ascii="Calibri" w:hAnsi="Calibri"/>
          <w:i/>
          <w:iCs/>
          <w:sz w:val="22"/>
          <w:szCs w:val="22"/>
        </w:rPr>
        <w:t>Pastorino v. City of New York</w:t>
      </w:r>
      <w:r w:rsidRPr="00CB4E2F">
        <w:rPr>
          <w:rFonts w:ascii="Calibri" w:hAnsi="Calibri"/>
          <w:iCs/>
          <w:sz w:val="22"/>
          <w:szCs w:val="22"/>
        </w:rPr>
        <w:t>, 2021 WL 377233 (N.Y. App. 2021)</w:t>
      </w:r>
      <w:r>
        <w:rPr>
          <w:rFonts w:ascii="Calibri" w:hAnsi="Calibri"/>
          <w:iCs/>
          <w:sz w:val="22"/>
          <w:szCs w:val="22"/>
        </w:rPr>
        <w:t>.</w:t>
      </w:r>
    </w:p>
    <w:p w14:paraId="7A8FA8FE" w14:textId="48CC3F63" w:rsidR="005B404D" w:rsidRDefault="005B404D" w:rsidP="005B404D">
      <w:pPr>
        <w:spacing w:before="120" w:after="120"/>
        <w:jc w:val="both"/>
        <w:rPr>
          <w:rFonts w:ascii="Calibri" w:hAnsi="Calibri"/>
          <w:iCs/>
          <w:sz w:val="22"/>
          <w:szCs w:val="22"/>
        </w:rPr>
      </w:pPr>
      <w:r>
        <w:rPr>
          <w:rFonts w:ascii="Calibri" w:hAnsi="Calibri"/>
          <w:iCs/>
          <w:sz w:val="22"/>
          <w:szCs w:val="22"/>
        </w:rPr>
        <w:t>New York is also one of the first states to chime in on the application of the ASR to Owner-Controlled Insurance Programs/Contractor-Controlled Insurance Programs (OCIP/CCIP), stating that the ARS</w:t>
      </w:r>
      <w:r w:rsidRPr="005B404D">
        <w:rPr>
          <w:rFonts w:ascii="Calibri" w:hAnsi="Calibri"/>
          <w:iCs/>
          <w:sz w:val="22"/>
          <w:szCs w:val="22"/>
        </w:rPr>
        <w:t xml:space="preserve"> barred </w:t>
      </w:r>
      <w:r>
        <w:rPr>
          <w:rFonts w:ascii="Calibri" w:hAnsi="Calibri"/>
          <w:iCs/>
          <w:sz w:val="22"/>
          <w:szCs w:val="22"/>
        </w:rPr>
        <w:t xml:space="preserve">a </w:t>
      </w:r>
      <w:r w:rsidRPr="005B404D">
        <w:rPr>
          <w:rFonts w:ascii="Calibri" w:hAnsi="Calibri"/>
          <w:iCs/>
          <w:sz w:val="22"/>
          <w:szCs w:val="22"/>
        </w:rPr>
        <w:t>construction contractor and its client from asserting causes of action against subcontractors to recover damages for breach of contract and for declaratory relief, where subcontractors were members of Contractor Controlled Insurance Program (CCIP) implemented by contractor, and CCIP imposed $500,000 retention obligation on contractor as to each occurrence under policy.</w:t>
      </w:r>
      <w:r>
        <w:rPr>
          <w:rFonts w:ascii="Calibri" w:hAnsi="Calibri"/>
          <w:iCs/>
          <w:sz w:val="22"/>
          <w:szCs w:val="22"/>
        </w:rPr>
        <w:t xml:space="preserve"> </w:t>
      </w:r>
      <w:r w:rsidRPr="002840A0">
        <w:rPr>
          <w:rFonts w:ascii="Calibri" w:hAnsi="Calibri"/>
          <w:i/>
          <w:iCs/>
          <w:sz w:val="22"/>
          <w:szCs w:val="22"/>
        </w:rPr>
        <w:t>Wausau Underwriters Ins. Co. v. Gamma USA, Inc.</w:t>
      </w:r>
      <w:r w:rsidRPr="005B404D">
        <w:rPr>
          <w:rFonts w:ascii="Calibri" w:hAnsi="Calibri"/>
          <w:iCs/>
          <w:sz w:val="22"/>
          <w:szCs w:val="22"/>
        </w:rPr>
        <w:t>, 89 N.Y.S.3d 186 (N.Y. App. Div. 2018)</w:t>
      </w:r>
      <w:r>
        <w:rPr>
          <w:rFonts w:ascii="Calibri" w:hAnsi="Calibri"/>
          <w:iCs/>
          <w:sz w:val="22"/>
          <w:szCs w:val="22"/>
        </w:rPr>
        <w:t>.</w:t>
      </w:r>
    </w:p>
    <w:p w14:paraId="545191AC" w14:textId="3CEE668E" w:rsidR="00070C45" w:rsidRPr="00070C45" w:rsidRDefault="00070C45" w:rsidP="00070C45">
      <w:pPr>
        <w:spacing w:before="120" w:after="120"/>
        <w:jc w:val="both"/>
        <w:rPr>
          <w:rFonts w:ascii="Calibri" w:hAnsi="Calibri"/>
          <w:iCs/>
          <w:sz w:val="22"/>
          <w:szCs w:val="22"/>
        </w:rPr>
      </w:pPr>
      <w:r>
        <w:rPr>
          <w:rFonts w:ascii="Calibri" w:hAnsi="Calibri"/>
          <w:iCs/>
          <w:sz w:val="22"/>
          <w:szCs w:val="22"/>
        </w:rPr>
        <w:t xml:space="preserve">In </w:t>
      </w:r>
      <w:r w:rsidRPr="00B43D06">
        <w:rPr>
          <w:rFonts w:ascii="Calibri" w:hAnsi="Calibri"/>
          <w:i/>
          <w:sz w:val="22"/>
          <w:szCs w:val="22"/>
        </w:rPr>
        <w:t>Allied World Surplus Lines (a/s/o Tappan Zee Constructors, LLC) v. Hoffman International, Inc., et al</w:t>
      </w:r>
      <w:r>
        <w:rPr>
          <w:rFonts w:ascii="Calibri" w:hAnsi="Calibri"/>
          <w:iCs/>
          <w:sz w:val="22"/>
          <w:szCs w:val="22"/>
        </w:rPr>
        <w:t>., 2020 WL 4925618 (S.D.N.Y. 2020), Allied file a subrogation suit for damage to a crane and a bridge against three company which were not insured by them, but which created a limited liability company which was insured by Allied. Allied argued that the three companies were</w:t>
      </w:r>
      <w:r w:rsidRPr="00070C45">
        <w:rPr>
          <w:rFonts w:ascii="Calibri" w:hAnsi="Calibri"/>
          <w:iCs/>
          <w:sz w:val="22"/>
          <w:szCs w:val="22"/>
        </w:rPr>
        <w:t xml:space="preserve"> not covered by the Allied insurance policy</w:t>
      </w:r>
      <w:r>
        <w:rPr>
          <w:rFonts w:ascii="Calibri" w:hAnsi="Calibri"/>
          <w:iCs/>
          <w:sz w:val="22"/>
          <w:szCs w:val="22"/>
        </w:rPr>
        <w:t xml:space="preserve"> and</w:t>
      </w:r>
      <w:r w:rsidR="00B43D06">
        <w:rPr>
          <w:rFonts w:ascii="Calibri" w:hAnsi="Calibri"/>
          <w:iCs/>
          <w:sz w:val="22"/>
          <w:szCs w:val="22"/>
        </w:rPr>
        <w:t>,</w:t>
      </w:r>
      <w:r>
        <w:rPr>
          <w:rFonts w:ascii="Calibri" w:hAnsi="Calibri"/>
          <w:iCs/>
          <w:sz w:val="22"/>
          <w:szCs w:val="22"/>
        </w:rPr>
        <w:t xml:space="preserve"> therefore</w:t>
      </w:r>
      <w:r w:rsidR="00B43D06">
        <w:rPr>
          <w:rFonts w:ascii="Calibri" w:hAnsi="Calibri"/>
          <w:iCs/>
          <w:sz w:val="22"/>
          <w:szCs w:val="22"/>
        </w:rPr>
        <w:t>,</w:t>
      </w:r>
      <w:r>
        <w:rPr>
          <w:rFonts w:ascii="Calibri" w:hAnsi="Calibri"/>
          <w:iCs/>
          <w:sz w:val="22"/>
          <w:szCs w:val="22"/>
        </w:rPr>
        <w:t xml:space="preserve"> the ASR should not apply to prevent their subrogation action. The court held that the ASR did not apply, because e</w:t>
      </w:r>
      <w:r w:rsidRPr="00070C45">
        <w:rPr>
          <w:rFonts w:ascii="Calibri" w:hAnsi="Calibri"/>
          <w:iCs/>
          <w:sz w:val="22"/>
          <w:szCs w:val="22"/>
        </w:rPr>
        <w:t xml:space="preserve">ven if </w:t>
      </w:r>
      <w:r>
        <w:rPr>
          <w:rFonts w:ascii="Calibri" w:hAnsi="Calibri"/>
          <w:iCs/>
          <w:sz w:val="22"/>
          <w:szCs w:val="22"/>
        </w:rPr>
        <w:t>these three companies</w:t>
      </w:r>
      <w:r w:rsidRPr="00070C45">
        <w:rPr>
          <w:rFonts w:ascii="Calibri" w:hAnsi="Calibri"/>
          <w:iCs/>
          <w:sz w:val="22"/>
          <w:szCs w:val="22"/>
        </w:rPr>
        <w:t xml:space="preserve"> were insured in some capacity under the Allied policy, the </w:t>
      </w:r>
      <w:r>
        <w:rPr>
          <w:rFonts w:ascii="Calibri" w:hAnsi="Calibri"/>
          <w:iCs/>
          <w:sz w:val="22"/>
          <w:szCs w:val="22"/>
        </w:rPr>
        <w:t>ASR</w:t>
      </w:r>
      <w:r w:rsidRPr="00070C45">
        <w:rPr>
          <w:rFonts w:ascii="Calibri" w:hAnsi="Calibri"/>
          <w:iCs/>
          <w:sz w:val="22"/>
          <w:szCs w:val="22"/>
        </w:rPr>
        <w:t xml:space="preserve"> might not bar the third-party action if they were insured for different risks than </w:t>
      </w:r>
      <w:r>
        <w:rPr>
          <w:rFonts w:ascii="Calibri" w:hAnsi="Calibri"/>
          <w:iCs/>
          <w:sz w:val="22"/>
          <w:szCs w:val="22"/>
        </w:rPr>
        <w:t xml:space="preserve">the LLC. </w:t>
      </w:r>
    </w:p>
    <w:p w14:paraId="6AC762AD" w14:textId="20E12A08" w:rsidR="00ED2A4E" w:rsidRDefault="00ED2A4E" w:rsidP="00ED2A4E">
      <w:pPr>
        <w:spacing w:before="120" w:after="120"/>
        <w:jc w:val="both"/>
        <w:rPr>
          <w:rFonts w:ascii="Calibri" w:hAnsi="Calibri"/>
          <w:iCs/>
          <w:sz w:val="22"/>
          <w:szCs w:val="22"/>
        </w:rPr>
      </w:pPr>
      <w:r>
        <w:rPr>
          <w:rFonts w:ascii="Calibri" w:hAnsi="Calibri"/>
          <w:iCs/>
          <w:sz w:val="22"/>
          <w:szCs w:val="22"/>
        </w:rPr>
        <w:t xml:space="preserve">In a workers’ compensation subrogation case, the court held that </w:t>
      </w:r>
      <w:r w:rsidRPr="00ED2A4E">
        <w:rPr>
          <w:rFonts w:ascii="Calibri" w:hAnsi="Calibri"/>
          <w:iCs/>
          <w:sz w:val="22"/>
          <w:szCs w:val="22"/>
        </w:rPr>
        <w:t xml:space="preserve">permitting </w:t>
      </w:r>
      <w:r w:rsidR="00070C45">
        <w:rPr>
          <w:rFonts w:ascii="Calibri" w:hAnsi="Calibri"/>
          <w:iCs/>
          <w:sz w:val="22"/>
          <w:szCs w:val="22"/>
        </w:rPr>
        <w:t xml:space="preserve">a </w:t>
      </w:r>
      <w:r w:rsidRPr="00ED2A4E">
        <w:rPr>
          <w:rFonts w:ascii="Calibri" w:hAnsi="Calibri"/>
          <w:iCs/>
          <w:sz w:val="22"/>
          <w:szCs w:val="22"/>
        </w:rPr>
        <w:t xml:space="preserve">subcontractor to maintain </w:t>
      </w:r>
      <w:r>
        <w:rPr>
          <w:rFonts w:ascii="Calibri" w:hAnsi="Calibri"/>
          <w:iCs/>
          <w:sz w:val="22"/>
          <w:szCs w:val="22"/>
        </w:rPr>
        <w:t xml:space="preserve">a subrogation </w:t>
      </w:r>
      <w:r w:rsidRPr="00ED2A4E">
        <w:rPr>
          <w:rFonts w:ascii="Calibri" w:hAnsi="Calibri"/>
          <w:iCs/>
          <w:sz w:val="22"/>
          <w:szCs w:val="22"/>
        </w:rPr>
        <w:t xml:space="preserve">claim against </w:t>
      </w:r>
      <w:r w:rsidR="00070C45">
        <w:rPr>
          <w:rFonts w:ascii="Calibri" w:hAnsi="Calibri"/>
          <w:iCs/>
          <w:sz w:val="22"/>
          <w:szCs w:val="22"/>
        </w:rPr>
        <w:t xml:space="preserve">a </w:t>
      </w:r>
      <w:r w:rsidRPr="00ED2A4E">
        <w:rPr>
          <w:rFonts w:ascii="Calibri" w:hAnsi="Calibri"/>
          <w:iCs/>
          <w:sz w:val="22"/>
          <w:szCs w:val="22"/>
        </w:rPr>
        <w:t xml:space="preserve">contractor when both had same insurer would violate </w:t>
      </w:r>
      <w:r>
        <w:rPr>
          <w:rFonts w:ascii="Calibri" w:hAnsi="Calibri"/>
          <w:iCs/>
          <w:sz w:val="22"/>
          <w:szCs w:val="22"/>
        </w:rPr>
        <w:t xml:space="preserve">the </w:t>
      </w:r>
      <w:r w:rsidRPr="00ED2A4E">
        <w:rPr>
          <w:rFonts w:ascii="Calibri" w:hAnsi="Calibri"/>
          <w:iCs/>
          <w:sz w:val="22"/>
          <w:szCs w:val="22"/>
        </w:rPr>
        <w:t>anti</w:t>
      </w:r>
      <w:r>
        <w:rPr>
          <w:rFonts w:ascii="Calibri" w:hAnsi="Calibri"/>
          <w:iCs/>
          <w:sz w:val="22"/>
          <w:szCs w:val="22"/>
        </w:rPr>
        <w:t>-</w:t>
      </w:r>
      <w:r w:rsidRPr="00ED2A4E">
        <w:rPr>
          <w:rFonts w:ascii="Calibri" w:hAnsi="Calibri"/>
          <w:iCs/>
          <w:sz w:val="22"/>
          <w:szCs w:val="22"/>
        </w:rPr>
        <w:t>subrogation rule.</w:t>
      </w:r>
      <w:r>
        <w:rPr>
          <w:rFonts w:ascii="Calibri" w:hAnsi="Calibri"/>
          <w:iCs/>
          <w:sz w:val="22"/>
          <w:szCs w:val="22"/>
        </w:rPr>
        <w:t xml:space="preserve"> </w:t>
      </w:r>
      <w:r w:rsidRPr="00602DED">
        <w:rPr>
          <w:rFonts w:ascii="Calibri" w:hAnsi="Calibri"/>
          <w:i/>
          <w:iCs/>
          <w:sz w:val="22"/>
          <w:szCs w:val="22"/>
        </w:rPr>
        <w:t>Wilk v. Columbia Univ</w:t>
      </w:r>
      <w:r w:rsidRPr="00ED2A4E">
        <w:rPr>
          <w:rFonts w:ascii="Calibri" w:hAnsi="Calibri"/>
          <w:iCs/>
          <w:sz w:val="22"/>
          <w:szCs w:val="22"/>
        </w:rPr>
        <w:t>., 2019 WL 1715075 (N.Y. App. 2019)</w:t>
      </w:r>
      <w:r>
        <w:rPr>
          <w:rFonts w:ascii="Calibri" w:hAnsi="Calibri"/>
          <w:iCs/>
          <w:sz w:val="22"/>
          <w:szCs w:val="22"/>
        </w:rPr>
        <w:t>.</w:t>
      </w:r>
    </w:p>
    <w:p w14:paraId="49F247D5" w14:textId="644AD911" w:rsidR="00367975" w:rsidRDefault="00367975" w:rsidP="00367975">
      <w:pPr>
        <w:spacing w:before="120" w:after="120"/>
        <w:jc w:val="both"/>
        <w:rPr>
          <w:rFonts w:ascii="Calibri" w:hAnsi="Calibri"/>
          <w:iCs/>
          <w:sz w:val="22"/>
          <w:szCs w:val="22"/>
        </w:rPr>
      </w:pPr>
      <w:r>
        <w:rPr>
          <w:rFonts w:ascii="Calibri" w:hAnsi="Calibri"/>
          <w:iCs/>
          <w:sz w:val="22"/>
          <w:szCs w:val="22"/>
        </w:rPr>
        <w:t xml:space="preserve">The ASR will not bar a contractual indemnification claim brought by a premises owner and general contractor against a subcontractor as to the amount that their insurer may be obligated </w:t>
      </w:r>
      <w:proofErr w:type="spellStart"/>
      <w:r>
        <w:rPr>
          <w:rFonts w:ascii="Calibri" w:hAnsi="Calibri"/>
          <w:iCs/>
          <w:sz w:val="22"/>
          <w:szCs w:val="22"/>
        </w:rPr>
        <w:t>ot</w:t>
      </w:r>
      <w:proofErr w:type="spellEnd"/>
      <w:r>
        <w:rPr>
          <w:rFonts w:ascii="Calibri" w:hAnsi="Calibri"/>
          <w:iCs/>
          <w:sz w:val="22"/>
          <w:szCs w:val="22"/>
        </w:rPr>
        <w:t xml:space="preserve"> pay for any payment or settlement outside of the subcontractor’s primary policy limit. </w:t>
      </w:r>
      <w:r w:rsidRPr="00FD6E7E">
        <w:rPr>
          <w:rFonts w:ascii="Calibri" w:hAnsi="Calibri"/>
          <w:i/>
          <w:sz w:val="22"/>
          <w:szCs w:val="22"/>
        </w:rPr>
        <w:t>Peralta v. Hunter Roberts Constr. Grp. LLC</w:t>
      </w:r>
      <w:r w:rsidRPr="00367975">
        <w:rPr>
          <w:rFonts w:ascii="Calibri" w:hAnsi="Calibri"/>
          <w:iCs/>
          <w:sz w:val="22"/>
          <w:szCs w:val="22"/>
        </w:rPr>
        <w:t xml:space="preserve">, </w:t>
      </w:r>
      <w:r>
        <w:rPr>
          <w:rFonts w:ascii="Calibri" w:hAnsi="Calibri"/>
          <w:iCs/>
          <w:sz w:val="22"/>
          <w:szCs w:val="22"/>
        </w:rPr>
        <w:t xml:space="preserve"> </w:t>
      </w:r>
      <w:r w:rsidR="00357CEC" w:rsidRPr="00357CEC">
        <w:rPr>
          <w:rFonts w:ascii="Calibri" w:hAnsi="Calibri"/>
          <w:iCs/>
          <w:sz w:val="22"/>
          <w:szCs w:val="22"/>
        </w:rPr>
        <w:t>242 N.Y.S.3d 619</w:t>
      </w:r>
      <w:r w:rsidR="00357CEC">
        <w:rPr>
          <w:rFonts w:ascii="Calibri" w:hAnsi="Calibri"/>
          <w:iCs/>
          <w:sz w:val="22"/>
          <w:szCs w:val="22"/>
        </w:rPr>
        <w:t xml:space="preserve"> </w:t>
      </w:r>
      <w:r w:rsidRPr="00367975">
        <w:rPr>
          <w:rFonts w:ascii="Calibri" w:hAnsi="Calibri"/>
          <w:iCs/>
          <w:sz w:val="22"/>
          <w:szCs w:val="22"/>
        </w:rPr>
        <w:t>(N.Y. App. Div. 2025)</w:t>
      </w:r>
      <w:r>
        <w:rPr>
          <w:rFonts w:ascii="Calibri" w:hAnsi="Calibri"/>
          <w:iCs/>
          <w:sz w:val="22"/>
          <w:szCs w:val="22"/>
        </w:rPr>
        <w:t xml:space="preserve">. </w:t>
      </w:r>
    </w:p>
    <w:p w14:paraId="13688F9A" w14:textId="35574FC0" w:rsidR="00980239" w:rsidRPr="006F2DA1" w:rsidRDefault="00980239" w:rsidP="00367975">
      <w:pPr>
        <w:spacing w:before="120" w:after="120"/>
        <w:jc w:val="both"/>
        <w:rPr>
          <w:rFonts w:ascii="Calibri" w:hAnsi="Calibri"/>
          <w:iCs/>
          <w:sz w:val="22"/>
          <w:szCs w:val="22"/>
        </w:rPr>
      </w:pPr>
      <w:r>
        <w:rPr>
          <w:rFonts w:ascii="Calibri" w:hAnsi="Calibri"/>
          <w:iCs/>
          <w:sz w:val="22"/>
          <w:szCs w:val="22"/>
        </w:rPr>
        <w:t xml:space="preserve">Anti-subrogation </w:t>
      </w:r>
      <w:r w:rsidRPr="00980239">
        <w:rPr>
          <w:rFonts w:ascii="Calibri" w:hAnsi="Calibri"/>
          <w:iCs/>
          <w:sz w:val="22"/>
          <w:szCs w:val="22"/>
        </w:rPr>
        <w:t xml:space="preserve">defenses are often deemed premature </w:t>
      </w:r>
      <w:r>
        <w:rPr>
          <w:rFonts w:ascii="Calibri" w:hAnsi="Calibri"/>
          <w:iCs/>
          <w:sz w:val="22"/>
          <w:szCs w:val="22"/>
        </w:rPr>
        <w:t xml:space="preserve">in New York </w:t>
      </w:r>
      <w:r w:rsidRPr="00980239">
        <w:rPr>
          <w:rFonts w:ascii="Calibri" w:hAnsi="Calibri"/>
          <w:iCs/>
          <w:sz w:val="22"/>
          <w:szCs w:val="22"/>
        </w:rPr>
        <w:t>when coverage disputes remain unresolved, and that courts may allow indemnification and contribution claims to proceed pending a final determination of insurance obligations. Incorporating Pacheco as a recent illustration of that procedural principle would enhance the currency and practical accuracy of the chart without altering its core doctrinal analysis.</w:t>
      </w:r>
      <w:r>
        <w:rPr>
          <w:rFonts w:ascii="Calibri" w:hAnsi="Calibri"/>
          <w:iCs/>
          <w:sz w:val="22"/>
          <w:szCs w:val="22"/>
        </w:rPr>
        <w:t xml:space="preserve"> </w:t>
      </w:r>
      <w:r w:rsidRPr="00980239">
        <w:rPr>
          <w:rFonts w:ascii="Calibri" w:hAnsi="Calibri"/>
          <w:i/>
          <w:iCs/>
          <w:sz w:val="22"/>
          <w:szCs w:val="22"/>
        </w:rPr>
        <w:t>Pacheco v. Georgetown Eleventh Avenue Owners LLC</w:t>
      </w:r>
      <w:r w:rsidRPr="00980239">
        <w:rPr>
          <w:rFonts w:ascii="Calibri" w:hAnsi="Calibri"/>
          <w:iCs/>
          <w:sz w:val="22"/>
          <w:szCs w:val="22"/>
        </w:rPr>
        <w:t xml:space="preserve">, 242 A.D.3d 641, 2025 N.Y. Slip Op. 05923 (1st </w:t>
      </w:r>
      <w:proofErr w:type="spellStart"/>
      <w:r w:rsidRPr="00980239">
        <w:rPr>
          <w:rFonts w:ascii="Calibri" w:hAnsi="Calibri"/>
          <w:iCs/>
          <w:sz w:val="22"/>
          <w:szCs w:val="22"/>
        </w:rPr>
        <w:t>Dep’t</w:t>
      </w:r>
      <w:proofErr w:type="spellEnd"/>
      <w:r w:rsidRPr="00980239">
        <w:rPr>
          <w:rFonts w:ascii="Calibri" w:hAnsi="Calibri"/>
          <w:iCs/>
          <w:sz w:val="22"/>
          <w:szCs w:val="22"/>
        </w:rPr>
        <w:t xml:space="preserve"> 2025)</w:t>
      </w:r>
      <w:r>
        <w:rPr>
          <w:rFonts w:ascii="Calibri" w:hAnsi="Calibri"/>
          <w:iCs/>
          <w:sz w:val="22"/>
          <w:szCs w:val="22"/>
        </w:rPr>
        <w:t xml:space="preserve">. </w:t>
      </w:r>
    </w:p>
    <w:p w14:paraId="0711E8A2" w14:textId="77777777" w:rsidR="006318A0" w:rsidRPr="008F013B" w:rsidRDefault="00935406" w:rsidP="00A6631E">
      <w:pPr>
        <w:keepNext/>
        <w:spacing w:before="240" w:after="120"/>
        <w:jc w:val="both"/>
        <w:rPr>
          <w:rFonts w:ascii="Calibri" w:hAnsi="Calibri"/>
          <w:b/>
          <w:color w:val="0F243E"/>
          <w:sz w:val="24"/>
          <w:szCs w:val="24"/>
        </w:rPr>
      </w:pPr>
      <w:r w:rsidRPr="008F013B">
        <w:rPr>
          <w:rFonts w:ascii="Calibri" w:hAnsi="Calibri"/>
          <w:b/>
          <w:color w:val="0F243E"/>
          <w:sz w:val="24"/>
          <w:szCs w:val="24"/>
          <w:u w:val="single"/>
        </w:rPr>
        <w:t>NORTH CAROLINA</w:t>
      </w:r>
      <w:r w:rsidRPr="008F013B">
        <w:rPr>
          <w:rFonts w:ascii="Calibri" w:hAnsi="Calibri"/>
          <w:b/>
          <w:color w:val="0F243E"/>
          <w:sz w:val="24"/>
          <w:szCs w:val="24"/>
        </w:rPr>
        <w:t xml:space="preserve"> </w:t>
      </w:r>
    </w:p>
    <w:p w14:paraId="55164014" w14:textId="77777777" w:rsidR="003D4491" w:rsidRPr="006F2DA1" w:rsidRDefault="006F2DA1" w:rsidP="00696E3D">
      <w:pPr>
        <w:spacing w:before="120" w:after="120"/>
        <w:jc w:val="both"/>
        <w:rPr>
          <w:rFonts w:ascii="Calibri" w:hAnsi="Calibri"/>
          <w:sz w:val="22"/>
          <w:szCs w:val="22"/>
        </w:rPr>
      </w:pPr>
      <w:r w:rsidRPr="006F2DA1">
        <w:rPr>
          <w:rFonts w:ascii="Calibri" w:hAnsi="Calibri"/>
          <w:sz w:val="22"/>
          <w:szCs w:val="22"/>
        </w:rPr>
        <w:t>ASR yet</w:t>
      </w:r>
      <w:r w:rsidR="003F5FF5" w:rsidRPr="006F2DA1">
        <w:rPr>
          <w:rFonts w:ascii="Calibri" w:hAnsi="Calibri"/>
          <w:sz w:val="22"/>
          <w:szCs w:val="22"/>
        </w:rPr>
        <w:t xml:space="preserve"> to be determined. </w:t>
      </w:r>
    </w:p>
    <w:p w14:paraId="51A52611" w14:textId="77777777" w:rsidR="00A5636A" w:rsidRPr="008F013B" w:rsidRDefault="00935406" w:rsidP="005B53F2">
      <w:pPr>
        <w:keepNext/>
        <w:spacing w:before="240" w:after="120"/>
        <w:jc w:val="both"/>
        <w:rPr>
          <w:rFonts w:ascii="Calibri" w:hAnsi="Calibri"/>
          <w:color w:val="0F243E"/>
          <w:sz w:val="24"/>
          <w:szCs w:val="24"/>
        </w:rPr>
      </w:pPr>
      <w:r w:rsidRPr="008F013B">
        <w:rPr>
          <w:rFonts w:ascii="Calibri" w:hAnsi="Calibri"/>
          <w:b/>
          <w:color w:val="0F243E"/>
          <w:sz w:val="24"/>
          <w:szCs w:val="24"/>
          <w:u w:val="single"/>
        </w:rPr>
        <w:t>NORTH DAKOTA</w:t>
      </w:r>
      <w:r w:rsidRPr="008F013B">
        <w:rPr>
          <w:rFonts w:ascii="Calibri" w:hAnsi="Calibri"/>
          <w:b/>
          <w:color w:val="0F243E"/>
          <w:sz w:val="24"/>
          <w:szCs w:val="24"/>
        </w:rPr>
        <w:t xml:space="preserve"> </w:t>
      </w:r>
    </w:p>
    <w:p w14:paraId="47B23C1B" w14:textId="77777777" w:rsidR="00030819" w:rsidRPr="00633646" w:rsidRDefault="00030819" w:rsidP="00633646">
      <w:pPr>
        <w:spacing w:before="120" w:after="120"/>
        <w:jc w:val="both"/>
        <w:rPr>
          <w:rFonts w:ascii="Calibri" w:hAnsi="Calibri"/>
          <w:iCs/>
          <w:sz w:val="22"/>
          <w:szCs w:val="22"/>
        </w:rPr>
      </w:pPr>
      <w:r w:rsidRPr="00633646">
        <w:rPr>
          <w:rFonts w:ascii="Calibri" w:hAnsi="Calibri"/>
          <w:sz w:val="22"/>
          <w:szCs w:val="22"/>
        </w:rPr>
        <w:t xml:space="preserve">An insurer is not entitled to subrogation from its own insured for a claim arising from the very risk for which the insured was covered. </w:t>
      </w:r>
      <w:r w:rsidRPr="00633646">
        <w:rPr>
          <w:rFonts w:ascii="Calibri" w:hAnsi="Calibri"/>
          <w:i/>
          <w:sz w:val="22"/>
          <w:szCs w:val="22"/>
        </w:rPr>
        <w:t xml:space="preserve">American </w:t>
      </w:r>
      <w:proofErr w:type="spellStart"/>
      <w:r w:rsidRPr="00633646">
        <w:rPr>
          <w:rFonts w:ascii="Calibri" w:hAnsi="Calibri"/>
          <w:i/>
          <w:sz w:val="22"/>
          <w:szCs w:val="22"/>
        </w:rPr>
        <w:t>Nat</w:t>
      </w:r>
      <w:r w:rsidR="00633646" w:rsidRPr="00633646">
        <w:rPr>
          <w:rFonts w:ascii="Calibri" w:hAnsi="Calibri"/>
          <w:i/>
          <w:sz w:val="22"/>
          <w:szCs w:val="22"/>
        </w:rPr>
        <w:t>’l</w:t>
      </w:r>
      <w:proofErr w:type="spellEnd"/>
      <w:r w:rsidRPr="00633646">
        <w:rPr>
          <w:rFonts w:ascii="Calibri" w:hAnsi="Calibri"/>
          <w:i/>
          <w:sz w:val="22"/>
          <w:szCs w:val="22"/>
        </w:rPr>
        <w:t xml:space="preserve"> Fire Ins. Co. v. Hughes</w:t>
      </w:r>
      <w:r w:rsidRPr="00633646">
        <w:rPr>
          <w:rFonts w:ascii="Calibri" w:hAnsi="Calibri"/>
          <w:sz w:val="22"/>
          <w:szCs w:val="22"/>
        </w:rPr>
        <w:t xml:space="preserve">, 658 N.W.2d 330 (N.D. 2003). Additionally, an insurer is not entitled to subrogation from entities named as insureds in the insurance policy or entities deemed to be additional insureds under the policy. </w:t>
      </w:r>
      <w:r w:rsidRPr="00633646">
        <w:rPr>
          <w:rFonts w:ascii="Calibri" w:hAnsi="Calibri"/>
          <w:i/>
          <w:sz w:val="22"/>
          <w:szCs w:val="22"/>
        </w:rPr>
        <w:t>Id</w:t>
      </w:r>
      <w:r w:rsidRPr="00633646">
        <w:rPr>
          <w:rFonts w:ascii="Calibri" w:hAnsi="Calibri"/>
          <w:sz w:val="22"/>
          <w:szCs w:val="22"/>
        </w:rPr>
        <w:t xml:space="preserve">. An entity not named as an insured in an insurance policy is an additional insured protected by the </w:t>
      </w:r>
      <w:r w:rsidR="00633646" w:rsidRPr="00633646">
        <w:rPr>
          <w:rFonts w:ascii="Calibri" w:hAnsi="Calibri"/>
          <w:sz w:val="22"/>
          <w:szCs w:val="22"/>
        </w:rPr>
        <w:t>ASR</w:t>
      </w:r>
      <w:r w:rsidRPr="00633646">
        <w:rPr>
          <w:rFonts w:ascii="Calibri" w:hAnsi="Calibri"/>
          <w:sz w:val="22"/>
          <w:szCs w:val="22"/>
        </w:rPr>
        <w:t xml:space="preserve"> when, under the circumstances, the insurer is attempting to recover from the insured on the risk the insurer had agreed to take upon payment of premiums. </w:t>
      </w:r>
      <w:r w:rsidRPr="00633646">
        <w:rPr>
          <w:rFonts w:ascii="Calibri" w:hAnsi="Calibri"/>
          <w:i/>
          <w:sz w:val="22"/>
          <w:szCs w:val="22"/>
        </w:rPr>
        <w:t>Id</w:t>
      </w:r>
      <w:r w:rsidRPr="00633646">
        <w:rPr>
          <w:rFonts w:ascii="Calibri" w:hAnsi="Calibri"/>
          <w:sz w:val="22"/>
          <w:szCs w:val="22"/>
        </w:rPr>
        <w:t xml:space="preserve">. Fraud or design can potentially allow subrogation against an insured party to proceed. </w:t>
      </w:r>
      <w:r w:rsidRPr="00633646">
        <w:rPr>
          <w:rFonts w:ascii="Calibri" w:hAnsi="Calibri"/>
          <w:i/>
          <w:sz w:val="22"/>
          <w:szCs w:val="22"/>
        </w:rPr>
        <w:t>Id</w:t>
      </w:r>
      <w:r w:rsidRPr="00633646">
        <w:rPr>
          <w:rFonts w:ascii="Calibri" w:hAnsi="Calibri"/>
          <w:sz w:val="22"/>
          <w:szCs w:val="22"/>
        </w:rPr>
        <w:t xml:space="preserve">. Subrogation is not prohibited against a subcontractor not named on the owner’s builder’s risk policy. </w:t>
      </w:r>
      <w:r w:rsidRPr="00633646">
        <w:rPr>
          <w:rFonts w:ascii="Calibri" w:hAnsi="Calibri"/>
          <w:i/>
          <w:sz w:val="22"/>
          <w:szCs w:val="22"/>
        </w:rPr>
        <w:t>Tr</w:t>
      </w:r>
      <w:r w:rsidR="00633646" w:rsidRPr="00633646">
        <w:rPr>
          <w:rFonts w:ascii="Calibri" w:hAnsi="Calibri"/>
          <w:i/>
          <w:sz w:val="22"/>
          <w:szCs w:val="22"/>
        </w:rPr>
        <w:t>i-</w:t>
      </w:r>
      <w:r w:rsidRPr="00633646">
        <w:rPr>
          <w:rFonts w:ascii="Calibri" w:hAnsi="Calibri"/>
          <w:i/>
          <w:sz w:val="22"/>
          <w:szCs w:val="22"/>
        </w:rPr>
        <w:t>State Ins. Co. of Minnesota v. Commercial Group West, LLC</w:t>
      </w:r>
      <w:r w:rsidRPr="00633646">
        <w:rPr>
          <w:rFonts w:ascii="Calibri" w:hAnsi="Calibri"/>
          <w:sz w:val="22"/>
          <w:szCs w:val="22"/>
        </w:rPr>
        <w:t>, 698 N.W.2d 483 (N.D. 2005)</w:t>
      </w:r>
      <w:r w:rsidR="00633646" w:rsidRPr="00633646">
        <w:rPr>
          <w:rFonts w:ascii="Calibri" w:hAnsi="Calibri"/>
          <w:sz w:val="22"/>
          <w:szCs w:val="22"/>
        </w:rPr>
        <w:t xml:space="preserve">. In </w:t>
      </w:r>
      <w:r w:rsidRPr="00633646">
        <w:rPr>
          <w:rFonts w:ascii="Calibri" w:hAnsi="Calibri"/>
          <w:i/>
          <w:iCs/>
          <w:sz w:val="22"/>
          <w:szCs w:val="22"/>
        </w:rPr>
        <w:t>Hughes</w:t>
      </w:r>
      <w:r w:rsidRPr="00633646">
        <w:rPr>
          <w:rFonts w:ascii="Calibri" w:hAnsi="Calibri"/>
          <w:iCs/>
          <w:sz w:val="22"/>
          <w:szCs w:val="22"/>
        </w:rPr>
        <w:t>, Hughes was the vice president of United Crane, a corporation owned entirely by Hughes’ parents. United Crane was insured by American National Fire Ins. Co. (</w:t>
      </w:r>
      <w:r w:rsidR="006A4B98">
        <w:rPr>
          <w:rFonts w:ascii="Calibri" w:hAnsi="Calibri"/>
          <w:iCs/>
          <w:sz w:val="22"/>
          <w:szCs w:val="22"/>
        </w:rPr>
        <w:t>“</w:t>
      </w:r>
      <w:r w:rsidRPr="00633646">
        <w:rPr>
          <w:rFonts w:ascii="Calibri" w:hAnsi="Calibri"/>
          <w:iCs/>
          <w:sz w:val="22"/>
          <w:szCs w:val="22"/>
        </w:rPr>
        <w:t>American</w:t>
      </w:r>
      <w:r w:rsidR="006A4B98">
        <w:rPr>
          <w:rFonts w:ascii="Calibri" w:hAnsi="Calibri"/>
          <w:iCs/>
          <w:sz w:val="22"/>
          <w:szCs w:val="22"/>
        </w:rPr>
        <w:t>”</w:t>
      </w:r>
      <w:r w:rsidRPr="00633646">
        <w:rPr>
          <w:rFonts w:ascii="Calibri" w:hAnsi="Calibri"/>
          <w:iCs/>
          <w:sz w:val="22"/>
          <w:szCs w:val="22"/>
        </w:rPr>
        <w:t>) when Hughes accidentally started a fire in the United Crane workshop by attempting to suck gasoline out of his snowmobile using a shop-vac. Hughes was not acting as an employee of the corporation at the time, but Hughes, his brother, and his father kept and worked on their snowmobiles in the United Crane workshop frequent</w:t>
      </w:r>
      <w:r w:rsidR="00870F42" w:rsidRPr="00633646">
        <w:rPr>
          <w:rFonts w:ascii="Calibri" w:hAnsi="Calibri"/>
          <w:iCs/>
          <w:sz w:val="22"/>
          <w:szCs w:val="22"/>
        </w:rPr>
        <w:t xml:space="preserve">ly. American paid $250k </w:t>
      </w:r>
      <w:r w:rsidRPr="00633646">
        <w:rPr>
          <w:rFonts w:ascii="Calibri" w:hAnsi="Calibri"/>
          <w:iCs/>
          <w:sz w:val="22"/>
          <w:szCs w:val="22"/>
        </w:rPr>
        <w:t>in damages to United Crane and then attempted to subrogate for that amount against Hughes. American’s subrogation attempt was b</w:t>
      </w:r>
      <w:r w:rsidR="00870F42" w:rsidRPr="00633646">
        <w:rPr>
          <w:rFonts w:ascii="Calibri" w:hAnsi="Calibri"/>
          <w:iCs/>
          <w:sz w:val="22"/>
          <w:szCs w:val="22"/>
        </w:rPr>
        <w:t xml:space="preserve">arred by the </w:t>
      </w:r>
      <w:r w:rsidR="00633646" w:rsidRPr="00633646">
        <w:rPr>
          <w:rFonts w:ascii="Calibri" w:hAnsi="Calibri"/>
          <w:iCs/>
          <w:sz w:val="22"/>
          <w:szCs w:val="22"/>
        </w:rPr>
        <w:t>c</w:t>
      </w:r>
      <w:r w:rsidR="00870F42" w:rsidRPr="00633646">
        <w:rPr>
          <w:rFonts w:ascii="Calibri" w:hAnsi="Calibri"/>
          <w:iCs/>
          <w:sz w:val="22"/>
          <w:szCs w:val="22"/>
        </w:rPr>
        <w:t xml:space="preserve">ourt because the </w:t>
      </w:r>
      <w:r w:rsidR="00633646" w:rsidRPr="00633646">
        <w:rPr>
          <w:rFonts w:ascii="Calibri" w:hAnsi="Calibri"/>
          <w:iCs/>
          <w:sz w:val="22"/>
          <w:szCs w:val="22"/>
        </w:rPr>
        <w:t>c</w:t>
      </w:r>
      <w:r w:rsidRPr="00633646">
        <w:rPr>
          <w:rFonts w:ascii="Calibri" w:hAnsi="Calibri"/>
          <w:iCs/>
          <w:sz w:val="22"/>
          <w:szCs w:val="22"/>
        </w:rPr>
        <w:t>ourt found that Hughes was an implied co-insured under United Crane’s policy, and that allowing subrogation, given the circumstances, would be allowing subrogation by the insurer for the very risk they had agreed to assume under the policy.</w:t>
      </w:r>
    </w:p>
    <w:p w14:paraId="1BB8C129" w14:textId="77777777" w:rsidR="006635EB" w:rsidRPr="008F013B" w:rsidRDefault="00935406" w:rsidP="00BA2F54">
      <w:pPr>
        <w:keepNext/>
        <w:spacing w:before="240" w:after="120"/>
        <w:jc w:val="both"/>
        <w:rPr>
          <w:rFonts w:ascii="Calibri" w:hAnsi="Calibri"/>
          <w:b/>
          <w:color w:val="0F243E"/>
          <w:sz w:val="24"/>
          <w:szCs w:val="24"/>
        </w:rPr>
      </w:pPr>
      <w:r w:rsidRPr="008F013B">
        <w:rPr>
          <w:rFonts w:ascii="Calibri" w:hAnsi="Calibri"/>
          <w:b/>
          <w:color w:val="0F243E"/>
          <w:sz w:val="24"/>
          <w:szCs w:val="24"/>
          <w:u w:val="single"/>
        </w:rPr>
        <w:t>OHIO</w:t>
      </w:r>
    </w:p>
    <w:p w14:paraId="19D70435" w14:textId="77777777" w:rsidR="006318A0" w:rsidRPr="00633646" w:rsidRDefault="00F45A69" w:rsidP="00633646">
      <w:pPr>
        <w:spacing w:before="120" w:after="120"/>
        <w:jc w:val="both"/>
        <w:rPr>
          <w:rFonts w:ascii="Calibri" w:hAnsi="Calibri"/>
          <w:b/>
          <w:sz w:val="22"/>
          <w:szCs w:val="22"/>
          <w:u w:val="single"/>
        </w:rPr>
      </w:pPr>
      <w:r>
        <w:rPr>
          <w:rFonts w:ascii="Calibri" w:hAnsi="Calibri"/>
          <w:sz w:val="22"/>
          <w:szCs w:val="22"/>
        </w:rPr>
        <w:t>An insurance company</w:t>
      </w:r>
      <w:r w:rsidR="006635EB" w:rsidRPr="00633646">
        <w:rPr>
          <w:rFonts w:ascii="Calibri" w:hAnsi="Calibri"/>
          <w:sz w:val="22"/>
          <w:szCs w:val="22"/>
        </w:rPr>
        <w:t xml:space="preserve"> has no subrogation rights against its own insured. </w:t>
      </w:r>
      <w:proofErr w:type="spellStart"/>
      <w:r w:rsidR="006635EB" w:rsidRPr="00633646">
        <w:rPr>
          <w:rFonts w:ascii="Calibri" w:hAnsi="Calibri"/>
          <w:i/>
          <w:sz w:val="22"/>
          <w:szCs w:val="22"/>
        </w:rPr>
        <w:t>Chenowerth</w:t>
      </w:r>
      <w:proofErr w:type="spellEnd"/>
      <w:r w:rsidR="006635EB" w:rsidRPr="00633646">
        <w:rPr>
          <w:rFonts w:ascii="Calibri" w:hAnsi="Calibri"/>
          <w:i/>
          <w:sz w:val="22"/>
          <w:szCs w:val="22"/>
        </w:rPr>
        <w:t xml:space="preserve"> Motor Co. v. Cotton</w:t>
      </w:r>
      <w:r w:rsidR="00AF136F" w:rsidRPr="00633646">
        <w:rPr>
          <w:rFonts w:ascii="Calibri" w:hAnsi="Calibri"/>
          <w:sz w:val="22"/>
          <w:szCs w:val="22"/>
        </w:rPr>
        <w:t xml:space="preserve">, 207 N.E.2d </w:t>
      </w:r>
      <w:r w:rsidR="006635EB" w:rsidRPr="00633646">
        <w:rPr>
          <w:rFonts w:ascii="Calibri" w:hAnsi="Calibri"/>
          <w:sz w:val="22"/>
          <w:szCs w:val="22"/>
        </w:rPr>
        <w:t xml:space="preserve">(Ohio 1965). An insurer may not subrogate against a tortfeasor if the tortfeasor is insured under the policy which gave rise to right of subrogation. </w:t>
      </w:r>
      <w:r>
        <w:rPr>
          <w:rFonts w:ascii="Calibri" w:hAnsi="Calibri"/>
          <w:sz w:val="22"/>
          <w:szCs w:val="22"/>
        </w:rPr>
        <w:t xml:space="preserve">In </w:t>
      </w:r>
      <w:r w:rsidRPr="00620485">
        <w:rPr>
          <w:rFonts w:ascii="Calibri" w:hAnsi="Calibri"/>
          <w:i/>
          <w:sz w:val="22"/>
          <w:szCs w:val="22"/>
        </w:rPr>
        <w:t>Chenoweth</w:t>
      </w:r>
      <w:r>
        <w:rPr>
          <w:rFonts w:ascii="Calibri" w:hAnsi="Calibri"/>
          <w:sz w:val="22"/>
          <w:szCs w:val="22"/>
        </w:rPr>
        <w:t xml:space="preserve">, </w:t>
      </w:r>
      <w:r w:rsidRPr="00F45A69">
        <w:rPr>
          <w:rFonts w:ascii="Calibri" w:hAnsi="Calibri"/>
          <w:sz w:val="22"/>
          <w:szCs w:val="22"/>
        </w:rPr>
        <w:t xml:space="preserve">the </w:t>
      </w:r>
      <w:r>
        <w:rPr>
          <w:rFonts w:ascii="Calibri" w:hAnsi="Calibri"/>
          <w:sz w:val="22"/>
          <w:szCs w:val="22"/>
        </w:rPr>
        <w:t>defendant was</w:t>
      </w:r>
      <w:r w:rsidRPr="00F45A69">
        <w:rPr>
          <w:rFonts w:ascii="Calibri" w:hAnsi="Calibri"/>
          <w:sz w:val="22"/>
          <w:szCs w:val="22"/>
        </w:rPr>
        <w:t xml:space="preserve"> in an auto accident </w:t>
      </w:r>
      <w:r>
        <w:rPr>
          <w:rFonts w:ascii="Calibri" w:hAnsi="Calibri"/>
          <w:sz w:val="22"/>
          <w:szCs w:val="22"/>
        </w:rPr>
        <w:t>while driving a vehicle</w:t>
      </w:r>
      <w:r w:rsidRPr="00F45A69">
        <w:rPr>
          <w:rFonts w:ascii="Calibri" w:hAnsi="Calibri"/>
          <w:sz w:val="22"/>
          <w:szCs w:val="22"/>
        </w:rPr>
        <w:t xml:space="preserve"> loaned to him by Chenoweth Motor Co. Chenoweth had a collision insurance policy on the auto with Ohio Farmers Insurance Co. The </w:t>
      </w:r>
      <w:r>
        <w:rPr>
          <w:rFonts w:ascii="Calibri" w:hAnsi="Calibri"/>
          <w:sz w:val="22"/>
          <w:szCs w:val="22"/>
        </w:rPr>
        <w:t>defendant</w:t>
      </w:r>
      <w:r w:rsidRPr="00F45A69">
        <w:rPr>
          <w:rFonts w:ascii="Calibri" w:hAnsi="Calibri"/>
          <w:sz w:val="22"/>
          <w:szCs w:val="22"/>
        </w:rPr>
        <w:t xml:space="preserve">, as bailee of the insured auto, was included as an additional insured under the Ohio Farmers policy. Ohio Farmers paid a portion of the property damages pursuant to the policy, </w:t>
      </w:r>
      <w:r w:rsidR="00620485" w:rsidRPr="00F45A69">
        <w:rPr>
          <w:rFonts w:ascii="Calibri" w:hAnsi="Calibri"/>
          <w:sz w:val="22"/>
          <w:szCs w:val="22"/>
        </w:rPr>
        <w:t>and then</w:t>
      </w:r>
      <w:r w:rsidRPr="00F45A69">
        <w:rPr>
          <w:rFonts w:ascii="Calibri" w:hAnsi="Calibri"/>
          <w:sz w:val="22"/>
          <w:szCs w:val="22"/>
        </w:rPr>
        <w:t xml:space="preserve"> joined Chenoweth in filing suit against the tortfeasor to recover the amounts paid under the policy. However, because the tortfeasor was a co-insured, the court held that Ohio Farmers had no right to subrogation</w:t>
      </w:r>
      <w:r>
        <w:rPr>
          <w:rFonts w:ascii="Calibri" w:hAnsi="Calibri"/>
          <w:sz w:val="22"/>
          <w:szCs w:val="22"/>
        </w:rPr>
        <w:t xml:space="preserve">. </w:t>
      </w:r>
      <w:r w:rsidR="006635EB" w:rsidRPr="00633646">
        <w:rPr>
          <w:rStyle w:val="Emphasis"/>
          <w:rFonts w:ascii="Calibri" w:hAnsi="Calibri"/>
          <w:bCs/>
          <w:sz w:val="22"/>
          <w:szCs w:val="22"/>
        </w:rPr>
        <w:t>Aetna</w:t>
      </w:r>
      <w:r w:rsidR="00633646" w:rsidRPr="00633646">
        <w:rPr>
          <w:rStyle w:val="Emphasis"/>
          <w:rFonts w:ascii="Calibri" w:hAnsi="Calibri"/>
          <w:bCs/>
          <w:sz w:val="22"/>
          <w:szCs w:val="22"/>
        </w:rPr>
        <w:t xml:space="preserve"> </w:t>
      </w:r>
      <w:r w:rsidR="006635EB" w:rsidRPr="00633646">
        <w:rPr>
          <w:rStyle w:val="Emphasis"/>
          <w:rFonts w:ascii="Calibri" w:hAnsi="Calibri"/>
          <w:bCs/>
          <w:sz w:val="22"/>
          <w:szCs w:val="22"/>
        </w:rPr>
        <w:t>Cas</w:t>
      </w:r>
      <w:r w:rsidR="006635EB" w:rsidRPr="00633646">
        <w:rPr>
          <w:rStyle w:val="Emphasis"/>
          <w:rFonts w:ascii="Calibri" w:hAnsi="Calibri"/>
          <w:sz w:val="22"/>
          <w:szCs w:val="22"/>
        </w:rPr>
        <w:t>. &amp;</w:t>
      </w:r>
      <w:r w:rsidR="00633646" w:rsidRPr="00633646">
        <w:rPr>
          <w:rStyle w:val="Emphasis"/>
          <w:rFonts w:ascii="Calibri" w:hAnsi="Calibri"/>
          <w:sz w:val="22"/>
          <w:szCs w:val="22"/>
        </w:rPr>
        <w:t xml:space="preserve"> </w:t>
      </w:r>
      <w:r w:rsidR="006635EB" w:rsidRPr="00633646">
        <w:rPr>
          <w:rStyle w:val="Emphasis"/>
          <w:rFonts w:ascii="Calibri" w:hAnsi="Calibri"/>
          <w:bCs/>
          <w:sz w:val="22"/>
          <w:szCs w:val="22"/>
        </w:rPr>
        <w:t>Sur</w:t>
      </w:r>
      <w:r w:rsidR="006635EB" w:rsidRPr="00633646">
        <w:rPr>
          <w:rStyle w:val="Emphasis"/>
          <w:rFonts w:ascii="Calibri" w:hAnsi="Calibri"/>
          <w:sz w:val="22"/>
          <w:szCs w:val="22"/>
        </w:rPr>
        <w:t>.</w:t>
      </w:r>
      <w:r w:rsidR="00633646" w:rsidRPr="00633646">
        <w:rPr>
          <w:rStyle w:val="apple-converted-space"/>
          <w:rFonts w:ascii="Calibri" w:hAnsi="Calibri"/>
          <w:i/>
          <w:iCs/>
          <w:sz w:val="22"/>
          <w:szCs w:val="22"/>
        </w:rPr>
        <w:t xml:space="preserve"> </w:t>
      </w:r>
      <w:r w:rsidR="006635EB" w:rsidRPr="00633646">
        <w:rPr>
          <w:rStyle w:val="Emphasis"/>
          <w:rFonts w:ascii="Calibri" w:hAnsi="Calibri"/>
          <w:bCs/>
          <w:sz w:val="22"/>
          <w:szCs w:val="22"/>
        </w:rPr>
        <w:t>Co</w:t>
      </w:r>
      <w:r w:rsidR="006635EB" w:rsidRPr="00633646">
        <w:rPr>
          <w:rStyle w:val="Emphasis"/>
          <w:rFonts w:ascii="Calibri" w:hAnsi="Calibri"/>
          <w:sz w:val="22"/>
          <w:szCs w:val="22"/>
        </w:rPr>
        <w:t>.</w:t>
      </w:r>
      <w:r w:rsidR="00633646" w:rsidRPr="00633646">
        <w:rPr>
          <w:rStyle w:val="apple-converted-space"/>
          <w:rFonts w:ascii="Calibri" w:hAnsi="Calibri"/>
          <w:i/>
          <w:iCs/>
          <w:sz w:val="22"/>
          <w:szCs w:val="22"/>
        </w:rPr>
        <w:t xml:space="preserve"> </w:t>
      </w:r>
      <w:r w:rsidR="006635EB" w:rsidRPr="00633646">
        <w:rPr>
          <w:rStyle w:val="Emphasis"/>
          <w:rFonts w:ascii="Calibri" w:hAnsi="Calibri"/>
          <w:bCs/>
          <w:sz w:val="22"/>
          <w:szCs w:val="22"/>
        </w:rPr>
        <w:t>v</w:t>
      </w:r>
      <w:r w:rsidR="006635EB" w:rsidRPr="00633646">
        <w:rPr>
          <w:rStyle w:val="Emphasis"/>
          <w:rFonts w:ascii="Calibri" w:hAnsi="Calibri"/>
          <w:sz w:val="22"/>
          <w:szCs w:val="22"/>
        </w:rPr>
        <w:t>.</w:t>
      </w:r>
      <w:r w:rsidR="00633646" w:rsidRPr="00633646">
        <w:rPr>
          <w:rStyle w:val="apple-converted-space"/>
          <w:rFonts w:ascii="Calibri" w:hAnsi="Calibri"/>
          <w:i/>
          <w:iCs/>
          <w:sz w:val="22"/>
          <w:szCs w:val="22"/>
        </w:rPr>
        <w:t xml:space="preserve"> </w:t>
      </w:r>
      <w:r w:rsidR="006635EB" w:rsidRPr="00633646">
        <w:rPr>
          <w:rStyle w:val="Emphasis"/>
          <w:rFonts w:ascii="Calibri" w:hAnsi="Calibri"/>
          <w:bCs/>
          <w:sz w:val="22"/>
          <w:szCs w:val="22"/>
        </w:rPr>
        <w:t>Urban Imperial</w:t>
      </w:r>
      <w:r w:rsidR="00633646" w:rsidRPr="00633646">
        <w:rPr>
          <w:rStyle w:val="apple-converted-space"/>
          <w:rFonts w:ascii="Calibri" w:hAnsi="Calibri"/>
          <w:i/>
          <w:iCs/>
          <w:sz w:val="22"/>
          <w:szCs w:val="22"/>
        </w:rPr>
        <w:t xml:space="preserve"> </w:t>
      </w:r>
      <w:r w:rsidR="006635EB" w:rsidRPr="00633646">
        <w:rPr>
          <w:rStyle w:val="Emphasis"/>
          <w:rFonts w:ascii="Calibri" w:hAnsi="Calibri"/>
          <w:bCs/>
          <w:sz w:val="22"/>
          <w:szCs w:val="22"/>
        </w:rPr>
        <w:t>Bldg</w:t>
      </w:r>
      <w:r w:rsidR="006635EB" w:rsidRPr="00633646">
        <w:rPr>
          <w:rStyle w:val="Emphasis"/>
          <w:rFonts w:ascii="Calibri" w:hAnsi="Calibri"/>
          <w:sz w:val="22"/>
          <w:szCs w:val="22"/>
        </w:rPr>
        <w:t>. &amp;</w:t>
      </w:r>
      <w:r w:rsidR="00633646" w:rsidRPr="00633646">
        <w:rPr>
          <w:rStyle w:val="apple-converted-space"/>
          <w:rFonts w:ascii="Calibri" w:hAnsi="Calibri"/>
          <w:i/>
          <w:iCs/>
          <w:sz w:val="22"/>
          <w:szCs w:val="22"/>
        </w:rPr>
        <w:t xml:space="preserve"> </w:t>
      </w:r>
      <w:r w:rsidR="006635EB" w:rsidRPr="00633646">
        <w:rPr>
          <w:rStyle w:val="Emphasis"/>
          <w:rFonts w:ascii="Calibri" w:hAnsi="Calibri"/>
          <w:bCs/>
          <w:sz w:val="22"/>
          <w:szCs w:val="22"/>
        </w:rPr>
        <w:t>Rental</w:t>
      </w:r>
      <w:r w:rsidR="00633646" w:rsidRPr="00633646">
        <w:rPr>
          <w:rStyle w:val="apple-converted-space"/>
          <w:rFonts w:ascii="Calibri" w:hAnsi="Calibri"/>
          <w:i/>
          <w:iCs/>
          <w:sz w:val="22"/>
          <w:szCs w:val="22"/>
        </w:rPr>
        <w:t xml:space="preserve"> </w:t>
      </w:r>
      <w:r w:rsidR="006635EB" w:rsidRPr="00633646">
        <w:rPr>
          <w:rStyle w:val="Emphasis"/>
          <w:rFonts w:ascii="Calibri" w:hAnsi="Calibri"/>
          <w:bCs/>
          <w:sz w:val="22"/>
          <w:szCs w:val="22"/>
        </w:rPr>
        <w:t>Corp</w:t>
      </w:r>
      <w:r w:rsidR="006635EB" w:rsidRPr="00633646">
        <w:rPr>
          <w:rStyle w:val="Emphasis"/>
          <w:rFonts w:ascii="Calibri" w:hAnsi="Calibri"/>
          <w:sz w:val="22"/>
          <w:szCs w:val="22"/>
        </w:rPr>
        <w:t>.</w:t>
      </w:r>
      <w:r w:rsidR="006635EB" w:rsidRPr="00633646">
        <w:rPr>
          <w:rStyle w:val="Emphasis"/>
          <w:rFonts w:ascii="Calibri" w:hAnsi="Calibri"/>
          <w:i w:val="0"/>
          <w:sz w:val="22"/>
          <w:szCs w:val="22"/>
        </w:rPr>
        <w:t>,</w:t>
      </w:r>
      <w:r w:rsidR="006635EB" w:rsidRPr="00633646">
        <w:rPr>
          <w:rStyle w:val="cosearchterm"/>
          <w:rFonts w:ascii="Calibri" w:hAnsi="Calibri"/>
          <w:bCs/>
          <w:sz w:val="22"/>
          <w:szCs w:val="22"/>
        </w:rPr>
        <w:t xml:space="preserve"> 526 N.E.2d 819</w:t>
      </w:r>
      <w:r w:rsidR="006635EB" w:rsidRPr="00633646">
        <w:rPr>
          <w:rStyle w:val="cosearchterm"/>
          <w:rFonts w:ascii="Calibri" w:hAnsi="Calibri"/>
          <w:sz w:val="22"/>
          <w:szCs w:val="22"/>
        </w:rPr>
        <w:t xml:space="preserve"> (</w:t>
      </w:r>
      <w:r w:rsidR="00870F42" w:rsidRPr="00633646">
        <w:rPr>
          <w:rStyle w:val="cosearchterm"/>
          <w:rFonts w:ascii="Calibri" w:hAnsi="Calibri"/>
          <w:sz w:val="22"/>
          <w:szCs w:val="22"/>
        </w:rPr>
        <w:t xml:space="preserve">Ohio Ct. App. </w:t>
      </w:r>
      <w:r w:rsidR="006635EB" w:rsidRPr="00633646">
        <w:rPr>
          <w:rStyle w:val="cosearchterm"/>
          <w:rFonts w:ascii="Calibri" w:hAnsi="Calibri"/>
          <w:sz w:val="22"/>
          <w:szCs w:val="22"/>
        </w:rPr>
        <w:t xml:space="preserve">1987). “Subrogation does not permit an insurer to stand in the shoes of one insured to recover losses occasioned by another insured under the same policy.” </w:t>
      </w:r>
      <w:r w:rsidR="006635EB" w:rsidRPr="00633646">
        <w:rPr>
          <w:rStyle w:val="cosearchterm"/>
          <w:rFonts w:ascii="Calibri" w:hAnsi="Calibri"/>
          <w:i/>
          <w:sz w:val="22"/>
          <w:szCs w:val="22"/>
        </w:rPr>
        <w:t xml:space="preserve">Indiana Ins. Co. v. </w:t>
      </w:r>
      <w:r w:rsidR="006635EB" w:rsidRPr="00633646">
        <w:rPr>
          <w:rStyle w:val="cosearchterm"/>
          <w:rFonts w:ascii="Calibri" w:hAnsi="Calibri"/>
          <w:sz w:val="22"/>
          <w:szCs w:val="22"/>
        </w:rPr>
        <w:t xml:space="preserve">Barnes, </w:t>
      </w:r>
      <w:r w:rsidR="00F32E25" w:rsidRPr="00633646">
        <w:rPr>
          <w:rFonts w:ascii="Calibri" w:hAnsi="Calibri"/>
          <w:sz w:val="22"/>
          <w:szCs w:val="22"/>
        </w:rPr>
        <w:t xml:space="preserve">846 N.E.2d 73 </w:t>
      </w:r>
      <w:r w:rsidR="006635EB" w:rsidRPr="00633646">
        <w:rPr>
          <w:rStyle w:val="cosearchterm"/>
          <w:rFonts w:ascii="Calibri" w:hAnsi="Calibri"/>
          <w:sz w:val="22"/>
          <w:szCs w:val="22"/>
        </w:rPr>
        <w:t>(</w:t>
      </w:r>
      <w:r w:rsidR="00870F42" w:rsidRPr="00633646">
        <w:rPr>
          <w:rStyle w:val="cosearchterm"/>
          <w:rFonts w:ascii="Calibri" w:hAnsi="Calibri"/>
          <w:sz w:val="22"/>
          <w:szCs w:val="22"/>
        </w:rPr>
        <w:t xml:space="preserve">Ohio Ct. App. </w:t>
      </w:r>
      <w:r w:rsidR="006635EB" w:rsidRPr="00633646">
        <w:rPr>
          <w:rStyle w:val="cosearchterm"/>
          <w:rFonts w:ascii="Calibri" w:hAnsi="Calibri"/>
          <w:sz w:val="22"/>
          <w:szCs w:val="22"/>
        </w:rPr>
        <w:t xml:space="preserve">2005). </w:t>
      </w:r>
      <w:r w:rsidR="00633646" w:rsidRPr="00633646">
        <w:rPr>
          <w:rStyle w:val="cosearchterm"/>
          <w:rFonts w:ascii="Calibri" w:hAnsi="Calibri"/>
          <w:sz w:val="22"/>
          <w:szCs w:val="22"/>
        </w:rPr>
        <w:t xml:space="preserve">In </w:t>
      </w:r>
      <w:r w:rsidR="006635EB" w:rsidRPr="00633646">
        <w:rPr>
          <w:rStyle w:val="Emphasis"/>
          <w:rFonts w:ascii="Calibri" w:hAnsi="Calibri"/>
          <w:bCs/>
          <w:sz w:val="22"/>
          <w:szCs w:val="22"/>
        </w:rPr>
        <w:t>Urban Imperial</w:t>
      </w:r>
      <w:r w:rsidR="00633646" w:rsidRPr="00633646">
        <w:rPr>
          <w:rStyle w:val="apple-converted-space"/>
          <w:rFonts w:ascii="Calibri" w:hAnsi="Calibri"/>
          <w:i/>
          <w:iCs/>
          <w:sz w:val="22"/>
          <w:szCs w:val="22"/>
        </w:rPr>
        <w:t xml:space="preserve"> </w:t>
      </w:r>
      <w:r w:rsidR="006635EB" w:rsidRPr="00633646">
        <w:rPr>
          <w:rStyle w:val="Emphasis"/>
          <w:rFonts w:ascii="Calibri" w:hAnsi="Calibri"/>
          <w:bCs/>
          <w:sz w:val="22"/>
          <w:szCs w:val="22"/>
        </w:rPr>
        <w:t>Bldg</w:t>
      </w:r>
      <w:r w:rsidR="006635EB" w:rsidRPr="00633646">
        <w:rPr>
          <w:rStyle w:val="Emphasis"/>
          <w:rFonts w:ascii="Calibri" w:hAnsi="Calibri"/>
          <w:sz w:val="22"/>
          <w:szCs w:val="22"/>
        </w:rPr>
        <w:t>. &amp;</w:t>
      </w:r>
      <w:r w:rsidR="00633646" w:rsidRPr="00633646">
        <w:rPr>
          <w:rStyle w:val="apple-converted-space"/>
          <w:rFonts w:ascii="Calibri" w:hAnsi="Calibri"/>
          <w:i/>
          <w:iCs/>
          <w:sz w:val="22"/>
          <w:szCs w:val="22"/>
        </w:rPr>
        <w:t xml:space="preserve"> </w:t>
      </w:r>
      <w:r w:rsidR="006635EB" w:rsidRPr="00633646">
        <w:rPr>
          <w:rStyle w:val="Emphasis"/>
          <w:rFonts w:ascii="Calibri" w:hAnsi="Calibri"/>
          <w:bCs/>
          <w:sz w:val="22"/>
          <w:szCs w:val="22"/>
        </w:rPr>
        <w:t>Rental</w:t>
      </w:r>
      <w:r w:rsidR="00633646" w:rsidRPr="00633646">
        <w:rPr>
          <w:rStyle w:val="apple-converted-space"/>
          <w:rFonts w:ascii="Calibri" w:hAnsi="Calibri"/>
          <w:i/>
          <w:iCs/>
          <w:sz w:val="22"/>
          <w:szCs w:val="22"/>
        </w:rPr>
        <w:t xml:space="preserve"> </w:t>
      </w:r>
      <w:r w:rsidR="006635EB" w:rsidRPr="00633646">
        <w:rPr>
          <w:rStyle w:val="Emphasis"/>
          <w:rFonts w:ascii="Calibri" w:hAnsi="Calibri"/>
          <w:bCs/>
          <w:sz w:val="22"/>
          <w:szCs w:val="22"/>
        </w:rPr>
        <w:t>Corp</w:t>
      </w:r>
      <w:r w:rsidR="006635EB" w:rsidRPr="00633646">
        <w:rPr>
          <w:rStyle w:val="Emphasis"/>
          <w:rFonts w:ascii="Calibri" w:hAnsi="Calibri"/>
          <w:sz w:val="22"/>
          <w:szCs w:val="22"/>
        </w:rPr>
        <w:t>.</w:t>
      </w:r>
      <w:r w:rsidR="006635EB" w:rsidRPr="00633646">
        <w:rPr>
          <w:rStyle w:val="Emphasis"/>
          <w:rFonts w:ascii="Calibri" w:hAnsi="Calibri"/>
          <w:i w:val="0"/>
          <w:sz w:val="22"/>
          <w:szCs w:val="22"/>
        </w:rPr>
        <w:t>,</w:t>
      </w:r>
      <w:r w:rsidR="006635EB" w:rsidRPr="00633646">
        <w:rPr>
          <w:rStyle w:val="cosearchterm"/>
          <w:rFonts w:ascii="Calibri" w:hAnsi="Calibri"/>
          <w:bCs/>
          <w:sz w:val="22"/>
          <w:szCs w:val="22"/>
        </w:rPr>
        <w:t xml:space="preserve"> </w:t>
      </w:r>
      <w:r w:rsidR="00633646" w:rsidRPr="00633646">
        <w:rPr>
          <w:rStyle w:val="cosearchterm"/>
          <w:rFonts w:ascii="Calibri" w:hAnsi="Calibri"/>
          <w:bCs/>
          <w:sz w:val="22"/>
          <w:szCs w:val="22"/>
        </w:rPr>
        <w:t>a</w:t>
      </w:r>
      <w:r w:rsidR="006635EB" w:rsidRPr="00633646">
        <w:rPr>
          <w:rStyle w:val="cosearchterm"/>
          <w:rFonts w:ascii="Calibri" w:hAnsi="Calibri"/>
          <w:sz w:val="22"/>
          <w:szCs w:val="22"/>
        </w:rPr>
        <w:t xml:space="preserve"> residence</w:t>
      </w:r>
      <w:r w:rsidR="00633646" w:rsidRPr="00633646">
        <w:rPr>
          <w:rStyle w:val="cosearchterm"/>
          <w:rFonts w:ascii="Calibri" w:hAnsi="Calibri"/>
          <w:sz w:val="22"/>
          <w:szCs w:val="22"/>
        </w:rPr>
        <w:t>,</w:t>
      </w:r>
      <w:r w:rsidR="006635EB" w:rsidRPr="00633646">
        <w:rPr>
          <w:rStyle w:val="cosearchterm"/>
          <w:rFonts w:ascii="Calibri" w:hAnsi="Calibri"/>
          <w:sz w:val="22"/>
          <w:szCs w:val="22"/>
        </w:rPr>
        <w:t xml:space="preserve"> which was titled to the Urban Imperial Building </w:t>
      </w:r>
      <w:r w:rsidR="00633646" w:rsidRPr="00633646">
        <w:rPr>
          <w:rStyle w:val="cosearchterm"/>
          <w:rFonts w:ascii="Calibri" w:hAnsi="Calibri"/>
          <w:sz w:val="22"/>
          <w:szCs w:val="22"/>
        </w:rPr>
        <w:t>&amp;</w:t>
      </w:r>
      <w:r w:rsidR="006635EB" w:rsidRPr="00633646">
        <w:rPr>
          <w:rStyle w:val="cosearchterm"/>
          <w:rFonts w:ascii="Calibri" w:hAnsi="Calibri"/>
          <w:sz w:val="22"/>
          <w:szCs w:val="22"/>
        </w:rPr>
        <w:t xml:space="preserve"> Rental Corporation (</w:t>
      </w:r>
      <w:r w:rsidR="006A4B98">
        <w:rPr>
          <w:rStyle w:val="cosearchterm"/>
          <w:rFonts w:ascii="Calibri" w:hAnsi="Calibri"/>
          <w:sz w:val="22"/>
          <w:szCs w:val="22"/>
        </w:rPr>
        <w:t>“</w:t>
      </w:r>
      <w:r w:rsidR="006635EB" w:rsidRPr="00633646">
        <w:rPr>
          <w:rStyle w:val="cosearchterm"/>
          <w:rFonts w:ascii="Calibri" w:hAnsi="Calibri"/>
          <w:sz w:val="22"/>
          <w:szCs w:val="22"/>
        </w:rPr>
        <w:t>Urban</w:t>
      </w:r>
      <w:r w:rsidR="006A4B98">
        <w:rPr>
          <w:rStyle w:val="cosearchterm"/>
          <w:rFonts w:ascii="Calibri" w:hAnsi="Calibri"/>
          <w:sz w:val="22"/>
          <w:szCs w:val="22"/>
        </w:rPr>
        <w:t>”</w:t>
      </w:r>
      <w:r w:rsidR="006635EB" w:rsidRPr="00633646">
        <w:rPr>
          <w:rStyle w:val="cosearchterm"/>
          <w:rFonts w:ascii="Calibri" w:hAnsi="Calibri"/>
          <w:sz w:val="22"/>
          <w:szCs w:val="22"/>
        </w:rPr>
        <w:t>), the president of the corporation, and his wife, was severely damaged by a fire that Urban employees negligently started. Urban, the president, and his wife were all listed as named insureds on the building’s insurance policy that was issued by the Aetna Casualty &amp; Surety Company (</w:t>
      </w:r>
      <w:r w:rsidR="006A4B98">
        <w:rPr>
          <w:rStyle w:val="cosearchterm"/>
          <w:rFonts w:ascii="Calibri" w:hAnsi="Calibri"/>
          <w:sz w:val="22"/>
          <w:szCs w:val="22"/>
        </w:rPr>
        <w:t>“</w:t>
      </w:r>
      <w:r w:rsidR="006635EB" w:rsidRPr="00633646">
        <w:rPr>
          <w:rStyle w:val="cosearchterm"/>
          <w:rFonts w:ascii="Calibri" w:hAnsi="Calibri"/>
          <w:sz w:val="22"/>
          <w:szCs w:val="22"/>
        </w:rPr>
        <w:t>Aetna</w:t>
      </w:r>
      <w:r w:rsidR="006A4B98">
        <w:rPr>
          <w:rStyle w:val="cosearchterm"/>
          <w:rFonts w:ascii="Calibri" w:hAnsi="Calibri"/>
          <w:sz w:val="22"/>
          <w:szCs w:val="22"/>
        </w:rPr>
        <w:t>”</w:t>
      </w:r>
      <w:r w:rsidR="006635EB" w:rsidRPr="00633646">
        <w:rPr>
          <w:rStyle w:val="cosearchterm"/>
          <w:rFonts w:ascii="Calibri" w:hAnsi="Calibri"/>
          <w:sz w:val="22"/>
          <w:szCs w:val="22"/>
        </w:rPr>
        <w:t xml:space="preserve">). Aetna paid the president and his wife for the damages they had suffered as a result of the fire and then Aetna attempted to subrogate against Urban for the fire on the basis that Urban’s employees had negligently started the fire. The </w:t>
      </w:r>
      <w:r w:rsidR="00633646" w:rsidRPr="00633646">
        <w:rPr>
          <w:rStyle w:val="cosearchterm"/>
          <w:rFonts w:ascii="Calibri" w:hAnsi="Calibri"/>
          <w:sz w:val="22"/>
          <w:szCs w:val="22"/>
        </w:rPr>
        <w:t>c</w:t>
      </w:r>
      <w:r w:rsidR="006635EB" w:rsidRPr="00633646">
        <w:rPr>
          <w:rStyle w:val="cosearchterm"/>
          <w:rFonts w:ascii="Calibri" w:hAnsi="Calibri"/>
          <w:sz w:val="22"/>
          <w:szCs w:val="22"/>
        </w:rPr>
        <w:t xml:space="preserve">ourt barred Aetna from subrogating against Urban by invoking the rule that </w:t>
      </w:r>
      <w:r w:rsidR="006635EB" w:rsidRPr="00633646">
        <w:rPr>
          <w:rFonts w:ascii="Calibri" w:hAnsi="Calibri"/>
          <w:sz w:val="22"/>
          <w:szCs w:val="22"/>
        </w:rPr>
        <w:t xml:space="preserve">no right of subrogation exists where the tortfeasor is insured under the policy which gave rise to the right of subrogation. </w:t>
      </w:r>
    </w:p>
    <w:p w14:paraId="68C93593" w14:textId="77777777" w:rsidR="006318A0" w:rsidRPr="008F013B" w:rsidRDefault="00935406" w:rsidP="00633646">
      <w:pPr>
        <w:keepNext/>
        <w:spacing w:before="240" w:after="120"/>
        <w:jc w:val="both"/>
        <w:rPr>
          <w:rFonts w:ascii="Calibri" w:hAnsi="Calibri"/>
          <w:color w:val="0F243E"/>
          <w:sz w:val="24"/>
          <w:szCs w:val="24"/>
        </w:rPr>
      </w:pPr>
      <w:r w:rsidRPr="008F013B">
        <w:rPr>
          <w:rFonts w:ascii="Calibri" w:hAnsi="Calibri"/>
          <w:b/>
          <w:color w:val="0F243E"/>
          <w:sz w:val="24"/>
          <w:szCs w:val="24"/>
          <w:u w:val="single"/>
        </w:rPr>
        <w:t>OKLAHOMA</w:t>
      </w:r>
    </w:p>
    <w:p w14:paraId="0A193DD2" w14:textId="77777777" w:rsidR="00511952" w:rsidRPr="00633646" w:rsidRDefault="00511952" w:rsidP="00696E3D">
      <w:pPr>
        <w:spacing w:before="120" w:after="120"/>
        <w:jc w:val="both"/>
        <w:rPr>
          <w:rFonts w:ascii="Calibri" w:hAnsi="Calibri"/>
          <w:sz w:val="22"/>
          <w:szCs w:val="22"/>
        </w:rPr>
      </w:pPr>
      <w:r w:rsidRPr="00633646">
        <w:rPr>
          <w:rFonts w:ascii="Calibri" w:hAnsi="Calibri"/>
          <w:sz w:val="22"/>
          <w:szCs w:val="22"/>
        </w:rPr>
        <w:t xml:space="preserve">An insurer may not subrogate against their insured or a co-insured on the policy. </w:t>
      </w:r>
      <w:r w:rsidRPr="00633646">
        <w:rPr>
          <w:rFonts w:ascii="Calibri" w:hAnsi="Calibri"/>
          <w:i/>
          <w:sz w:val="22"/>
          <w:szCs w:val="22"/>
        </w:rPr>
        <w:t>Travelers Ins. Companies v. Dickey</w:t>
      </w:r>
      <w:r w:rsidRPr="00633646">
        <w:rPr>
          <w:rFonts w:ascii="Calibri" w:hAnsi="Calibri"/>
          <w:sz w:val="22"/>
          <w:szCs w:val="22"/>
        </w:rPr>
        <w:t xml:space="preserve">, 799 P.2d 625 (Okla. 1990). The agreement between the property owner and subcontractor determines whether a subcontractor is a co-insured on the policy. </w:t>
      </w:r>
      <w:r w:rsidRPr="00633646">
        <w:rPr>
          <w:rFonts w:ascii="Calibri" w:hAnsi="Calibri"/>
          <w:i/>
          <w:sz w:val="22"/>
          <w:szCs w:val="22"/>
        </w:rPr>
        <w:t>Id</w:t>
      </w:r>
      <w:r w:rsidRPr="00633646">
        <w:rPr>
          <w:rFonts w:ascii="Calibri" w:hAnsi="Calibri"/>
          <w:sz w:val="22"/>
          <w:szCs w:val="22"/>
        </w:rPr>
        <w:t>.</w:t>
      </w:r>
      <w:r w:rsidR="00633646" w:rsidRPr="00633646">
        <w:rPr>
          <w:rFonts w:ascii="Calibri" w:hAnsi="Calibri"/>
          <w:sz w:val="22"/>
          <w:szCs w:val="22"/>
        </w:rPr>
        <w:t xml:space="preserve"> In </w:t>
      </w:r>
      <w:r w:rsidRPr="00633646">
        <w:rPr>
          <w:rFonts w:ascii="Calibri" w:hAnsi="Calibri"/>
          <w:i/>
          <w:sz w:val="22"/>
          <w:szCs w:val="22"/>
        </w:rPr>
        <w:t>Dickey</w:t>
      </w:r>
      <w:r w:rsidRPr="00633646">
        <w:rPr>
          <w:rFonts w:ascii="Calibri" w:hAnsi="Calibri"/>
          <w:sz w:val="22"/>
          <w:szCs w:val="22"/>
        </w:rPr>
        <w:t xml:space="preserve">, </w:t>
      </w:r>
      <w:r w:rsidR="00633646" w:rsidRPr="00633646">
        <w:rPr>
          <w:rFonts w:ascii="Calibri" w:hAnsi="Calibri"/>
          <w:sz w:val="22"/>
          <w:szCs w:val="22"/>
        </w:rPr>
        <w:t>a</w:t>
      </w:r>
      <w:r w:rsidRPr="00633646">
        <w:rPr>
          <w:rFonts w:ascii="Calibri" w:hAnsi="Calibri"/>
          <w:sz w:val="22"/>
          <w:szCs w:val="22"/>
        </w:rPr>
        <w:t xml:space="preserve"> building that Dickey was replacing the roof on suffered extensive damage after Dickey negligently failed to waterproof the roof. Travelers Insurance Company (</w:t>
      </w:r>
      <w:r w:rsidR="006A4B98">
        <w:rPr>
          <w:rFonts w:ascii="Calibri" w:hAnsi="Calibri"/>
          <w:sz w:val="22"/>
          <w:szCs w:val="22"/>
        </w:rPr>
        <w:t>“</w:t>
      </w:r>
      <w:r w:rsidRPr="00633646">
        <w:rPr>
          <w:rFonts w:ascii="Calibri" w:hAnsi="Calibri"/>
          <w:sz w:val="22"/>
          <w:szCs w:val="22"/>
        </w:rPr>
        <w:t>Travelers</w:t>
      </w:r>
      <w:r w:rsidR="006A4B98">
        <w:rPr>
          <w:rFonts w:ascii="Calibri" w:hAnsi="Calibri"/>
          <w:sz w:val="22"/>
          <w:szCs w:val="22"/>
        </w:rPr>
        <w:t>”</w:t>
      </w:r>
      <w:r w:rsidRPr="00633646">
        <w:rPr>
          <w:rFonts w:ascii="Calibri" w:hAnsi="Calibri"/>
          <w:sz w:val="22"/>
          <w:szCs w:val="22"/>
        </w:rPr>
        <w:t>) paid the building owner for the water damage and then sought to subrogate against Dickey for the damage. Dickey attempted to block the subrogation claim on the basis that he was a co-insured under the owner</w:t>
      </w:r>
      <w:r w:rsidR="00633646" w:rsidRPr="00633646">
        <w:rPr>
          <w:rFonts w:ascii="Calibri" w:hAnsi="Calibri"/>
          <w:sz w:val="22"/>
          <w:szCs w:val="22"/>
        </w:rPr>
        <w:t>’</w:t>
      </w:r>
      <w:r w:rsidRPr="00633646">
        <w:rPr>
          <w:rFonts w:ascii="Calibri" w:hAnsi="Calibri"/>
          <w:sz w:val="22"/>
          <w:szCs w:val="22"/>
        </w:rPr>
        <w:t xml:space="preserve">s policy and that the owner had previously agreed to not hold Dickey liable for damages. The </w:t>
      </w:r>
      <w:r w:rsidR="00633646" w:rsidRPr="00633646">
        <w:rPr>
          <w:rFonts w:ascii="Calibri" w:hAnsi="Calibri"/>
          <w:sz w:val="22"/>
          <w:szCs w:val="22"/>
        </w:rPr>
        <w:t>c</w:t>
      </w:r>
      <w:r w:rsidRPr="00633646">
        <w:rPr>
          <w:rFonts w:ascii="Calibri" w:hAnsi="Calibri"/>
          <w:sz w:val="22"/>
          <w:szCs w:val="22"/>
        </w:rPr>
        <w:t xml:space="preserve">ourt ruled that subrogation could proceed on the basis that Dickey was not co-insured under the owner’s policy because Dickey was not expressly named, there was no reference in the agreement to it applying to anyone else besides the owner, and the agreement expressly required Dickey to hold his own liability insurance. The </w:t>
      </w:r>
      <w:r w:rsidR="00633646" w:rsidRPr="00633646">
        <w:rPr>
          <w:rFonts w:ascii="Calibri" w:hAnsi="Calibri"/>
          <w:sz w:val="22"/>
          <w:szCs w:val="22"/>
        </w:rPr>
        <w:t>c</w:t>
      </w:r>
      <w:r w:rsidRPr="00633646">
        <w:rPr>
          <w:rFonts w:ascii="Calibri" w:hAnsi="Calibri"/>
          <w:sz w:val="22"/>
          <w:szCs w:val="22"/>
        </w:rPr>
        <w:t>ourt also found that the previous agreement to not hold Dickey liable also did not apply because that agreement also required that Dickey hold liability insurance, and limited the owner’s requirement to only holding insurance for damage to the roof itself. Because the damage that occurred was to the interior of the building, the agreement to not hold Dickey liable did not hold because it only applied to damage to the roof, not for damage to the interior, that damage was supposed to be covered by Dickey’s general liability insurance.</w:t>
      </w:r>
    </w:p>
    <w:p w14:paraId="0565469B" w14:textId="77777777" w:rsidR="00935406" w:rsidRPr="008F013B" w:rsidRDefault="00935406" w:rsidP="00633646">
      <w:pPr>
        <w:spacing w:before="240" w:after="120"/>
        <w:jc w:val="both"/>
        <w:rPr>
          <w:rFonts w:ascii="Calibri" w:hAnsi="Calibri"/>
          <w:color w:val="0F243E"/>
          <w:sz w:val="24"/>
          <w:szCs w:val="24"/>
        </w:rPr>
      </w:pPr>
      <w:r w:rsidRPr="008F013B">
        <w:rPr>
          <w:rFonts w:ascii="Calibri" w:hAnsi="Calibri"/>
          <w:b/>
          <w:color w:val="0F243E"/>
          <w:sz w:val="24"/>
          <w:szCs w:val="24"/>
          <w:u w:val="single"/>
        </w:rPr>
        <w:t>OREGON</w:t>
      </w:r>
    </w:p>
    <w:p w14:paraId="19526D52" w14:textId="77777777" w:rsidR="00454749" w:rsidRDefault="00454749" w:rsidP="00696E3D">
      <w:pPr>
        <w:spacing w:before="120" w:after="120"/>
        <w:jc w:val="both"/>
        <w:rPr>
          <w:rFonts w:ascii="Calibri" w:hAnsi="Calibri"/>
          <w:iCs/>
          <w:sz w:val="22"/>
          <w:szCs w:val="22"/>
        </w:rPr>
      </w:pPr>
      <w:r w:rsidRPr="008F013B">
        <w:rPr>
          <w:rFonts w:ascii="Calibri" w:hAnsi="Calibri"/>
          <w:iCs/>
          <w:sz w:val="22"/>
          <w:szCs w:val="22"/>
        </w:rPr>
        <w:t xml:space="preserve">An insurer cannot subrogate against its own insured. </w:t>
      </w:r>
      <w:r w:rsidRPr="008F013B">
        <w:rPr>
          <w:rFonts w:ascii="Calibri" w:hAnsi="Calibri"/>
          <w:i/>
          <w:iCs/>
          <w:sz w:val="22"/>
          <w:szCs w:val="22"/>
        </w:rPr>
        <w:t>Koch v. Spann</w:t>
      </w:r>
      <w:r w:rsidRPr="008F013B">
        <w:rPr>
          <w:rFonts w:ascii="Calibri" w:hAnsi="Calibri"/>
          <w:iCs/>
          <w:sz w:val="22"/>
          <w:szCs w:val="22"/>
        </w:rPr>
        <w:t>, 92. P.3d 146 (Or. App</w:t>
      </w:r>
      <w:r w:rsidR="00C0448B" w:rsidRPr="008F013B">
        <w:rPr>
          <w:rFonts w:ascii="Calibri" w:hAnsi="Calibri"/>
          <w:iCs/>
          <w:sz w:val="22"/>
          <w:szCs w:val="22"/>
        </w:rPr>
        <w:t>.</w:t>
      </w:r>
      <w:r w:rsidRPr="008F013B">
        <w:rPr>
          <w:rFonts w:ascii="Calibri" w:hAnsi="Calibri"/>
          <w:iCs/>
          <w:sz w:val="22"/>
          <w:szCs w:val="22"/>
        </w:rPr>
        <w:t xml:space="preserve"> 2004). An insurer cannot subrogate against a co-insured on a policy. </w:t>
      </w:r>
      <w:r w:rsidRPr="008F013B">
        <w:rPr>
          <w:rFonts w:ascii="Calibri" w:hAnsi="Calibri"/>
          <w:i/>
          <w:iCs/>
          <w:sz w:val="22"/>
          <w:szCs w:val="22"/>
        </w:rPr>
        <w:t>California Cas. Ins. Co. v. David Douglas School Dist.</w:t>
      </w:r>
      <w:r w:rsidRPr="008F013B">
        <w:rPr>
          <w:rFonts w:ascii="Calibri" w:hAnsi="Calibri"/>
          <w:iCs/>
          <w:sz w:val="22"/>
          <w:szCs w:val="22"/>
        </w:rPr>
        <w:t>, 693 P.2d 54 (</w:t>
      </w:r>
      <w:r w:rsidR="00C0448B" w:rsidRPr="008F013B">
        <w:rPr>
          <w:rFonts w:ascii="Calibri" w:hAnsi="Calibri"/>
          <w:iCs/>
          <w:sz w:val="22"/>
          <w:szCs w:val="22"/>
        </w:rPr>
        <w:t xml:space="preserve">Or. App. </w:t>
      </w:r>
      <w:r w:rsidRPr="008F013B">
        <w:rPr>
          <w:rFonts w:ascii="Calibri" w:hAnsi="Calibri"/>
          <w:iCs/>
          <w:sz w:val="22"/>
          <w:szCs w:val="22"/>
        </w:rPr>
        <w:t>1984). A negligent sub-subcontractor tor</w:t>
      </w:r>
      <w:r w:rsidR="00406E94" w:rsidRPr="008F013B">
        <w:rPr>
          <w:rFonts w:ascii="Calibri" w:hAnsi="Calibri"/>
          <w:iCs/>
          <w:sz w:val="22"/>
          <w:szCs w:val="22"/>
        </w:rPr>
        <w:t>t</w:t>
      </w:r>
      <w:r w:rsidRPr="008F013B">
        <w:rPr>
          <w:rFonts w:ascii="Calibri" w:hAnsi="Calibri"/>
          <w:iCs/>
          <w:sz w:val="22"/>
          <w:szCs w:val="22"/>
        </w:rPr>
        <w:t xml:space="preserve">feasor cannot seek indemnification from a subcontractor if the subcontractor is an insured on the policy that is suing the sub-subcontractor for damages. </w:t>
      </w:r>
      <w:r w:rsidRPr="008F013B">
        <w:rPr>
          <w:rFonts w:ascii="Calibri" w:hAnsi="Calibri"/>
          <w:i/>
          <w:iCs/>
          <w:sz w:val="22"/>
          <w:szCs w:val="22"/>
        </w:rPr>
        <w:t>Factory Mut</w:t>
      </w:r>
      <w:r w:rsidR="00B0639F" w:rsidRPr="008F013B">
        <w:rPr>
          <w:rFonts w:ascii="Calibri" w:hAnsi="Calibri"/>
          <w:i/>
          <w:iCs/>
          <w:sz w:val="22"/>
          <w:szCs w:val="22"/>
        </w:rPr>
        <w:t>.</w:t>
      </w:r>
      <w:r w:rsidRPr="008F013B">
        <w:rPr>
          <w:rFonts w:ascii="Calibri" w:hAnsi="Calibri"/>
          <w:i/>
          <w:iCs/>
          <w:sz w:val="22"/>
          <w:szCs w:val="22"/>
        </w:rPr>
        <w:t xml:space="preserve"> Ins</w:t>
      </w:r>
      <w:r w:rsidR="00B0639F" w:rsidRPr="008F013B">
        <w:rPr>
          <w:rFonts w:ascii="Calibri" w:hAnsi="Calibri"/>
          <w:i/>
          <w:iCs/>
          <w:sz w:val="22"/>
          <w:szCs w:val="22"/>
        </w:rPr>
        <w:t>.</w:t>
      </w:r>
      <w:r w:rsidRPr="008F013B">
        <w:rPr>
          <w:rFonts w:ascii="Calibri" w:hAnsi="Calibri"/>
          <w:i/>
          <w:iCs/>
          <w:sz w:val="22"/>
          <w:szCs w:val="22"/>
        </w:rPr>
        <w:t xml:space="preserve"> Co</w:t>
      </w:r>
      <w:r w:rsidR="00B0639F" w:rsidRPr="008F013B">
        <w:rPr>
          <w:rFonts w:ascii="Calibri" w:hAnsi="Calibri"/>
          <w:i/>
          <w:iCs/>
          <w:sz w:val="22"/>
          <w:szCs w:val="22"/>
        </w:rPr>
        <w:t>.</w:t>
      </w:r>
      <w:r w:rsidRPr="008F013B">
        <w:rPr>
          <w:rFonts w:ascii="Calibri" w:hAnsi="Calibri"/>
          <w:i/>
          <w:iCs/>
          <w:sz w:val="22"/>
          <w:szCs w:val="22"/>
        </w:rPr>
        <w:t xml:space="preserve"> v. Peri Formworks Systems, Inc.</w:t>
      </w:r>
      <w:r w:rsidRPr="008F013B">
        <w:rPr>
          <w:rFonts w:ascii="Calibri" w:hAnsi="Calibri"/>
          <w:iCs/>
          <w:sz w:val="22"/>
          <w:szCs w:val="22"/>
        </w:rPr>
        <w:t>, 223 F.Supp.3d 1133 (D. Or. 2016).</w:t>
      </w:r>
      <w:r w:rsidR="00B0639F" w:rsidRPr="008F013B">
        <w:rPr>
          <w:rFonts w:ascii="Calibri" w:hAnsi="Calibri"/>
          <w:iCs/>
          <w:sz w:val="22"/>
          <w:szCs w:val="22"/>
        </w:rPr>
        <w:t xml:space="preserve"> In </w:t>
      </w:r>
      <w:r w:rsidRPr="008F013B">
        <w:rPr>
          <w:rFonts w:ascii="Calibri" w:hAnsi="Calibri"/>
          <w:i/>
          <w:iCs/>
          <w:sz w:val="22"/>
          <w:szCs w:val="22"/>
        </w:rPr>
        <w:t>David Douglas School Dist.</w:t>
      </w:r>
      <w:r w:rsidRPr="008F013B">
        <w:rPr>
          <w:rFonts w:ascii="Calibri" w:hAnsi="Calibri"/>
          <w:iCs/>
          <w:sz w:val="22"/>
          <w:szCs w:val="22"/>
        </w:rPr>
        <w:t xml:space="preserve">, Salvo, a district administrator for the </w:t>
      </w:r>
      <w:r w:rsidR="00B0639F" w:rsidRPr="008F013B">
        <w:rPr>
          <w:rFonts w:ascii="Calibri" w:hAnsi="Calibri"/>
          <w:iCs/>
          <w:sz w:val="22"/>
          <w:szCs w:val="22"/>
        </w:rPr>
        <w:t>David Douglas School District (</w:t>
      </w:r>
      <w:r w:rsidR="006A4B98" w:rsidRPr="008F013B">
        <w:rPr>
          <w:rFonts w:ascii="Calibri" w:hAnsi="Calibri"/>
          <w:iCs/>
          <w:sz w:val="22"/>
          <w:szCs w:val="22"/>
        </w:rPr>
        <w:t>“</w:t>
      </w:r>
      <w:r w:rsidR="00B0639F" w:rsidRPr="008F013B">
        <w:rPr>
          <w:rFonts w:ascii="Calibri" w:hAnsi="Calibri"/>
          <w:iCs/>
          <w:sz w:val="22"/>
          <w:szCs w:val="22"/>
        </w:rPr>
        <w:t>School District</w:t>
      </w:r>
      <w:r w:rsidR="006A4B98" w:rsidRPr="008F013B">
        <w:rPr>
          <w:rFonts w:ascii="Calibri" w:hAnsi="Calibri"/>
          <w:iCs/>
          <w:sz w:val="22"/>
          <w:szCs w:val="22"/>
        </w:rPr>
        <w:t>”</w:t>
      </w:r>
      <w:r w:rsidRPr="008F013B">
        <w:rPr>
          <w:rFonts w:ascii="Calibri" w:hAnsi="Calibri"/>
          <w:iCs/>
          <w:sz w:val="22"/>
          <w:szCs w:val="22"/>
        </w:rPr>
        <w:t xml:space="preserve">), hit and injured a pedestrian while performing a task that was authorized by the </w:t>
      </w:r>
      <w:r w:rsidR="00B0639F" w:rsidRPr="008F013B">
        <w:rPr>
          <w:rFonts w:ascii="Calibri" w:hAnsi="Calibri"/>
          <w:iCs/>
          <w:sz w:val="22"/>
          <w:szCs w:val="22"/>
        </w:rPr>
        <w:t>School District</w:t>
      </w:r>
      <w:r w:rsidRPr="008F013B">
        <w:rPr>
          <w:rFonts w:ascii="Calibri" w:hAnsi="Calibri"/>
          <w:iCs/>
          <w:sz w:val="22"/>
          <w:szCs w:val="22"/>
        </w:rPr>
        <w:t>. Salvo’s personal auto insurer, Californ</w:t>
      </w:r>
      <w:r w:rsidR="00B0639F" w:rsidRPr="008F013B">
        <w:rPr>
          <w:rFonts w:ascii="Calibri" w:hAnsi="Calibri"/>
          <w:iCs/>
          <w:sz w:val="22"/>
          <w:szCs w:val="22"/>
        </w:rPr>
        <w:t>ia Casualty Insurance Company (</w:t>
      </w:r>
      <w:r w:rsidR="006A4B98" w:rsidRPr="008F013B">
        <w:rPr>
          <w:rFonts w:ascii="Calibri" w:hAnsi="Calibri"/>
          <w:iCs/>
          <w:sz w:val="22"/>
          <w:szCs w:val="22"/>
        </w:rPr>
        <w:t>“</w:t>
      </w:r>
      <w:r w:rsidR="00B0639F" w:rsidRPr="008F013B">
        <w:rPr>
          <w:rFonts w:ascii="Calibri" w:hAnsi="Calibri"/>
          <w:iCs/>
          <w:sz w:val="22"/>
          <w:szCs w:val="22"/>
        </w:rPr>
        <w:t>California</w:t>
      </w:r>
      <w:r w:rsidR="006A4B98" w:rsidRPr="008F013B">
        <w:rPr>
          <w:rFonts w:ascii="Calibri" w:hAnsi="Calibri"/>
          <w:iCs/>
          <w:sz w:val="22"/>
          <w:szCs w:val="22"/>
        </w:rPr>
        <w:t>”</w:t>
      </w:r>
      <w:r w:rsidRPr="008F013B">
        <w:rPr>
          <w:rFonts w:ascii="Calibri" w:hAnsi="Calibri"/>
          <w:iCs/>
          <w:sz w:val="22"/>
          <w:szCs w:val="22"/>
        </w:rPr>
        <w:t xml:space="preserve">), paid $50,000 to the pedestrian, and the </w:t>
      </w:r>
      <w:r w:rsidR="00B0639F" w:rsidRPr="008F013B">
        <w:rPr>
          <w:rFonts w:ascii="Calibri" w:hAnsi="Calibri"/>
          <w:iCs/>
          <w:sz w:val="22"/>
          <w:szCs w:val="22"/>
        </w:rPr>
        <w:t xml:space="preserve">School District’s </w:t>
      </w:r>
      <w:r w:rsidRPr="008F013B">
        <w:rPr>
          <w:rFonts w:ascii="Calibri" w:hAnsi="Calibri"/>
          <w:iCs/>
          <w:sz w:val="22"/>
          <w:szCs w:val="22"/>
        </w:rPr>
        <w:t xml:space="preserve">business auto liability insurer paid $34,000 to the pedestrian. California sought indemnification from the </w:t>
      </w:r>
      <w:r w:rsidR="00B0639F" w:rsidRPr="008F013B">
        <w:rPr>
          <w:rFonts w:ascii="Calibri" w:hAnsi="Calibri"/>
          <w:iCs/>
          <w:sz w:val="22"/>
          <w:szCs w:val="22"/>
        </w:rPr>
        <w:t xml:space="preserve">School District </w:t>
      </w:r>
      <w:r w:rsidRPr="008F013B">
        <w:rPr>
          <w:rFonts w:ascii="Calibri" w:hAnsi="Calibri"/>
          <w:iCs/>
          <w:sz w:val="22"/>
          <w:szCs w:val="22"/>
        </w:rPr>
        <w:t xml:space="preserve">and its insurer under ORS </w:t>
      </w:r>
      <w:r w:rsidR="00B0639F" w:rsidRPr="008F013B">
        <w:rPr>
          <w:rFonts w:ascii="Calibri" w:hAnsi="Calibri"/>
          <w:iCs/>
          <w:sz w:val="22"/>
          <w:szCs w:val="22"/>
          <w:rtl/>
          <w:lang w:bidi="he-IL"/>
        </w:rPr>
        <w:t>ֻ</w:t>
      </w:r>
      <w:r w:rsidR="00B0639F" w:rsidRPr="008F013B">
        <w:rPr>
          <w:rFonts w:ascii="Calibri" w:hAnsi="Calibri"/>
          <w:iCs/>
          <w:sz w:val="22"/>
          <w:szCs w:val="22"/>
          <w:lang w:bidi="he-IL"/>
        </w:rPr>
        <w:t xml:space="preserve">§ </w:t>
      </w:r>
      <w:r w:rsidRPr="008F013B">
        <w:rPr>
          <w:rFonts w:ascii="Calibri" w:hAnsi="Calibri"/>
          <w:iCs/>
          <w:sz w:val="22"/>
          <w:szCs w:val="22"/>
        </w:rPr>
        <w:t xml:space="preserve">30.285, a statute which requires public employers to indemnify employees while in the course of their duties. California, as subrogee of Salvo’s rights, argued that they should be indemnified by the </w:t>
      </w:r>
      <w:r w:rsidR="00B0639F" w:rsidRPr="008F013B">
        <w:rPr>
          <w:rFonts w:ascii="Calibri" w:hAnsi="Calibri"/>
          <w:iCs/>
          <w:sz w:val="22"/>
          <w:szCs w:val="22"/>
        </w:rPr>
        <w:t xml:space="preserve">School District </w:t>
      </w:r>
      <w:r w:rsidRPr="008F013B">
        <w:rPr>
          <w:rFonts w:ascii="Calibri" w:hAnsi="Calibri"/>
          <w:iCs/>
          <w:sz w:val="22"/>
          <w:szCs w:val="22"/>
        </w:rPr>
        <w:t xml:space="preserve">and its insurer. </w:t>
      </w:r>
      <w:r w:rsidR="00B0639F" w:rsidRPr="008F013B">
        <w:rPr>
          <w:rFonts w:ascii="Calibri" w:hAnsi="Calibri"/>
          <w:iCs/>
          <w:sz w:val="22"/>
          <w:szCs w:val="22"/>
        </w:rPr>
        <w:t>However, t</w:t>
      </w:r>
      <w:r w:rsidRPr="008F013B">
        <w:rPr>
          <w:rFonts w:ascii="Calibri" w:hAnsi="Calibri"/>
          <w:iCs/>
          <w:sz w:val="22"/>
          <w:szCs w:val="22"/>
        </w:rPr>
        <w:t xml:space="preserve">he </w:t>
      </w:r>
      <w:r w:rsidR="00B0639F" w:rsidRPr="008F013B">
        <w:rPr>
          <w:rFonts w:ascii="Calibri" w:hAnsi="Calibri"/>
          <w:iCs/>
          <w:sz w:val="22"/>
          <w:szCs w:val="22"/>
        </w:rPr>
        <w:t>c</w:t>
      </w:r>
      <w:r w:rsidRPr="008F013B">
        <w:rPr>
          <w:rFonts w:ascii="Calibri" w:hAnsi="Calibri"/>
          <w:iCs/>
          <w:sz w:val="22"/>
          <w:szCs w:val="22"/>
        </w:rPr>
        <w:t xml:space="preserve">ourt ruled against California finding that the </w:t>
      </w:r>
      <w:r w:rsidR="00B0639F" w:rsidRPr="008F013B">
        <w:rPr>
          <w:rFonts w:ascii="Calibri" w:hAnsi="Calibri"/>
          <w:iCs/>
          <w:sz w:val="22"/>
          <w:szCs w:val="22"/>
        </w:rPr>
        <w:t xml:space="preserve">School District </w:t>
      </w:r>
      <w:r w:rsidRPr="008F013B">
        <w:rPr>
          <w:rFonts w:ascii="Calibri" w:hAnsi="Calibri"/>
          <w:iCs/>
          <w:sz w:val="22"/>
          <w:szCs w:val="22"/>
        </w:rPr>
        <w:t xml:space="preserve">was an insured under Salvo’s policy due to a clause which extended coverage to an </w:t>
      </w:r>
      <w:r w:rsidRPr="008F013B">
        <w:rPr>
          <w:rFonts w:ascii="Calibri" w:hAnsi="Calibri"/>
          <w:sz w:val="22"/>
          <w:szCs w:val="22"/>
        </w:rPr>
        <w:t xml:space="preserve">“other person or organization but only with respect to his or its liability because of acts or omissions of an insured [Salvo].” Because the </w:t>
      </w:r>
      <w:r w:rsidR="00B0639F" w:rsidRPr="008F013B">
        <w:rPr>
          <w:rFonts w:ascii="Calibri" w:hAnsi="Calibri"/>
          <w:sz w:val="22"/>
          <w:szCs w:val="22"/>
        </w:rPr>
        <w:t xml:space="preserve">School District </w:t>
      </w:r>
      <w:r w:rsidRPr="008F013B">
        <w:rPr>
          <w:rFonts w:ascii="Calibri" w:hAnsi="Calibri"/>
          <w:sz w:val="22"/>
          <w:szCs w:val="22"/>
        </w:rPr>
        <w:t xml:space="preserve">was also an insured under Salvo’s policy, the ASR blocked California’s subrogation attempt. </w:t>
      </w:r>
      <w:r w:rsidR="00B0639F" w:rsidRPr="008F013B">
        <w:rPr>
          <w:rFonts w:ascii="Calibri" w:hAnsi="Calibri"/>
          <w:sz w:val="22"/>
          <w:szCs w:val="22"/>
        </w:rPr>
        <w:t xml:space="preserve">In </w:t>
      </w:r>
      <w:r w:rsidRPr="008F013B">
        <w:rPr>
          <w:rFonts w:ascii="Calibri" w:hAnsi="Calibri"/>
          <w:i/>
          <w:iCs/>
          <w:sz w:val="22"/>
          <w:szCs w:val="22"/>
        </w:rPr>
        <w:t>Peri Formworks Systems, Inc.</w:t>
      </w:r>
      <w:r w:rsidRPr="008F013B">
        <w:rPr>
          <w:rFonts w:ascii="Calibri" w:hAnsi="Calibri"/>
          <w:iCs/>
          <w:sz w:val="22"/>
          <w:szCs w:val="22"/>
        </w:rPr>
        <w:t>, Factory Mutual In</w:t>
      </w:r>
      <w:r w:rsidR="00B0639F" w:rsidRPr="008F013B">
        <w:rPr>
          <w:rFonts w:ascii="Calibri" w:hAnsi="Calibri"/>
          <w:iCs/>
          <w:sz w:val="22"/>
          <w:szCs w:val="22"/>
        </w:rPr>
        <w:t>surance (</w:t>
      </w:r>
      <w:r w:rsidR="006A4B98" w:rsidRPr="008F013B">
        <w:rPr>
          <w:rFonts w:ascii="Calibri" w:hAnsi="Calibri"/>
          <w:iCs/>
          <w:sz w:val="22"/>
          <w:szCs w:val="22"/>
        </w:rPr>
        <w:t>“</w:t>
      </w:r>
      <w:r w:rsidRPr="008F013B">
        <w:rPr>
          <w:rFonts w:ascii="Calibri" w:hAnsi="Calibri"/>
          <w:iCs/>
          <w:sz w:val="22"/>
          <w:szCs w:val="22"/>
        </w:rPr>
        <w:t>Factory</w:t>
      </w:r>
      <w:r w:rsidR="006A4B98" w:rsidRPr="008F013B">
        <w:rPr>
          <w:rFonts w:ascii="Calibri" w:hAnsi="Calibri"/>
          <w:iCs/>
          <w:sz w:val="22"/>
          <w:szCs w:val="22"/>
        </w:rPr>
        <w:t>”</w:t>
      </w:r>
      <w:r w:rsidRPr="008F013B">
        <w:rPr>
          <w:rFonts w:ascii="Calibri" w:hAnsi="Calibri"/>
          <w:iCs/>
          <w:sz w:val="22"/>
          <w:szCs w:val="22"/>
        </w:rPr>
        <w:t>) sued P</w:t>
      </w:r>
      <w:r w:rsidR="00B0639F" w:rsidRPr="008F013B">
        <w:rPr>
          <w:rFonts w:ascii="Calibri" w:hAnsi="Calibri"/>
          <w:iCs/>
          <w:sz w:val="22"/>
          <w:szCs w:val="22"/>
        </w:rPr>
        <w:t>eri Formworks Systems, Inc. (</w:t>
      </w:r>
      <w:r w:rsidR="006A4B98" w:rsidRPr="008F013B">
        <w:rPr>
          <w:rFonts w:ascii="Calibri" w:hAnsi="Calibri"/>
          <w:iCs/>
          <w:sz w:val="22"/>
          <w:szCs w:val="22"/>
        </w:rPr>
        <w:t>“</w:t>
      </w:r>
      <w:r w:rsidR="00B0639F" w:rsidRPr="008F013B">
        <w:rPr>
          <w:rFonts w:ascii="Calibri" w:hAnsi="Calibri"/>
          <w:iCs/>
          <w:sz w:val="22"/>
          <w:szCs w:val="22"/>
        </w:rPr>
        <w:t>Peri</w:t>
      </w:r>
      <w:r w:rsidR="006A4B98" w:rsidRPr="008F013B">
        <w:rPr>
          <w:rFonts w:ascii="Calibri" w:hAnsi="Calibri"/>
          <w:iCs/>
          <w:sz w:val="22"/>
          <w:szCs w:val="22"/>
        </w:rPr>
        <w:t>”</w:t>
      </w:r>
      <w:r w:rsidR="00B0639F" w:rsidRPr="008F013B">
        <w:rPr>
          <w:rFonts w:ascii="Calibri" w:hAnsi="Calibri"/>
          <w:iCs/>
          <w:sz w:val="22"/>
          <w:szCs w:val="22"/>
        </w:rPr>
        <w:t>)</w:t>
      </w:r>
      <w:r w:rsidRPr="008F013B">
        <w:rPr>
          <w:rFonts w:ascii="Calibri" w:hAnsi="Calibri"/>
          <w:iCs/>
          <w:sz w:val="22"/>
          <w:szCs w:val="22"/>
        </w:rPr>
        <w:t>, a subcontractor of McClone, for payments that Factory was forced to pay on a builders</w:t>
      </w:r>
      <w:r w:rsidR="00B0639F" w:rsidRPr="008F013B">
        <w:rPr>
          <w:rFonts w:ascii="Calibri" w:hAnsi="Calibri"/>
          <w:iCs/>
          <w:sz w:val="22"/>
          <w:szCs w:val="22"/>
        </w:rPr>
        <w:t>’</w:t>
      </w:r>
      <w:r w:rsidRPr="008F013B">
        <w:rPr>
          <w:rFonts w:ascii="Calibri" w:hAnsi="Calibri"/>
          <w:iCs/>
          <w:sz w:val="22"/>
          <w:szCs w:val="22"/>
        </w:rPr>
        <w:t xml:space="preserve"> risk policy after P</w:t>
      </w:r>
      <w:r w:rsidR="00B0639F" w:rsidRPr="008F013B">
        <w:rPr>
          <w:rFonts w:ascii="Calibri" w:hAnsi="Calibri"/>
          <w:iCs/>
          <w:sz w:val="22"/>
          <w:szCs w:val="22"/>
        </w:rPr>
        <w:t>eri</w:t>
      </w:r>
      <w:r w:rsidRPr="008F013B">
        <w:rPr>
          <w:rFonts w:ascii="Calibri" w:hAnsi="Calibri"/>
          <w:iCs/>
          <w:sz w:val="22"/>
          <w:szCs w:val="22"/>
        </w:rPr>
        <w:t xml:space="preserve"> was negligent in laying concrete. P</w:t>
      </w:r>
      <w:r w:rsidR="00B0639F" w:rsidRPr="008F013B">
        <w:rPr>
          <w:rFonts w:ascii="Calibri" w:hAnsi="Calibri"/>
          <w:iCs/>
          <w:sz w:val="22"/>
          <w:szCs w:val="22"/>
        </w:rPr>
        <w:t>eri</w:t>
      </w:r>
      <w:r w:rsidRPr="008F013B">
        <w:rPr>
          <w:rFonts w:ascii="Calibri" w:hAnsi="Calibri"/>
          <w:iCs/>
          <w:sz w:val="22"/>
          <w:szCs w:val="22"/>
        </w:rPr>
        <w:t xml:space="preserve"> in turn sued McClone, citing a contractual indemnification provision, seeking indemnification for any payments they would have to make to Factory for the damages. McClone argued that they were not required to pay for any damages because McClone was an insured on the policy Factory was now suing P</w:t>
      </w:r>
      <w:r w:rsidR="00B0639F" w:rsidRPr="008F013B">
        <w:rPr>
          <w:rFonts w:ascii="Calibri" w:hAnsi="Calibri"/>
          <w:iCs/>
          <w:sz w:val="22"/>
          <w:szCs w:val="22"/>
        </w:rPr>
        <w:t>eri</w:t>
      </w:r>
      <w:r w:rsidRPr="008F013B">
        <w:rPr>
          <w:rFonts w:ascii="Calibri" w:hAnsi="Calibri"/>
          <w:iCs/>
          <w:sz w:val="22"/>
          <w:szCs w:val="22"/>
        </w:rPr>
        <w:t xml:space="preserve"> over. The </w:t>
      </w:r>
      <w:r w:rsidR="00B0639F" w:rsidRPr="008F013B">
        <w:rPr>
          <w:rFonts w:ascii="Calibri" w:hAnsi="Calibri"/>
          <w:iCs/>
          <w:sz w:val="22"/>
          <w:szCs w:val="22"/>
        </w:rPr>
        <w:t>c</w:t>
      </w:r>
      <w:r w:rsidRPr="008F013B">
        <w:rPr>
          <w:rFonts w:ascii="Calibri" w:hAnsi="Calibri"/>
          <w:iCs/>
          <w:sz w:val="22"/>
          <w:szCs w:val="22"/>
        </w:rPr>
        <w:t>ourt reasoned that McClone is indeed an insured on Factory’s policy and</w:t>
      </w:r>
      <w:r w:rsidR="00B0639F" w:rsidRPr="008F013B">
        <w:rPr>
          <w:rFonts w:ascii="Calibri" w:hAnsi="Calibri"/>
          <w:iCs/>
          <w:sz w:val="22"/>
          <w:szCs w:val="22"/>
        </w:rPr>
        <w:t>,</w:t>
      </w:r>
      <w:r w:rsidRPr="008F013B">
        <w:rPr>
          <w:rFonts w:ascii="Calibri" w:hAnsi="Calibri"/>
          <w:iCs/>
          <w:sz w:val="22"/>
          <w:szCs w:val="22"/>
        </w:rPr>
        <w:t xml:space="preserve"> therefore</w:t>
      </w:r>
      <w:r w:rsidR="00B0639F" w:rsidRPr="008F013B">
        <w:rPr>
          <w:rFonts w:ascii="Calibri" w:hAnsi="Calibri"/>
          <w:iCs/>
          <w:sz w:val="22"/>
          <w:szCs w:val="22"/>
        </w:rPr>
        <w:t>,</w:t>
      </w:r>
      <w:r w:rsidRPr="008F013B">
        <w:rPr>
          <w:rFonts w:ascii="Calibri" w:hAnsi="Calibri"/>
          <w:iCs/>
          <w:sz w:val="22"/>
          <w:szCs w:val="22"/>
        </w:rPr>
        <w:t xml:space="preserve"> the ASR is triggered which bars P</w:t>
      </w:r>
      <w:r w:rsidR="00B0639F" w:rsidRPr="008F013B">
        <w:rPr>
          <w:rFonts w:ascii="Calibri" w:hAnsi="Calibri"/>
          <w:iCs/>
          <w:sz w:val="22"/>
          <w:szCs w:val="22"/>
        </w:rPr>
        <w:t>eri</w:t>
      </w:r>
      <w:r w:rsidRPr="008F013B">
        <w:rPr>
          <w:rFonts w:ascii="Calibri" w:hAnsi="Calibri"/>
          <w:iCs/>
          <w:sz w:val="22"/>
          <w:szCs w:val="22"/>
        </w:rPr>
        <w:t xml:space="preserve"> from forcing McClone to indemnify P</w:t>
      </w:r>
      <w:r w:rsidR="00B0639F" w:rsidRPr="008F013B">
        <w:rPr>
          <w:rFonts w:ascii="Calibri" w:hAnsi="Calibri"/>
          <w:iCs/>
          <w:sz w:val="22"/>
          <w:szCs w:val="22"/>
        </w:rPr>
        <w:t>eri in the lawsuit.</w:t>
      </w:r>
    </w:p>
    <w:p w14:paraId="07286F48" w14:textId="0AB880DB" w:rsidR="0053710E" w:rsidRPr="008F013B" w:rsidRDefault="0053710E" w:rsidP="00696E3D">
      <w:pPr>
        <w:spacing w:before="120" w:after="120"/>
        <w:jc w:val="both"/>
        <w:rPr>
          <w:rFonts w:ascii="Calibri" w:hAnsi="Calibri"/>
          <w:iCs/>
          <w:sz w:val="22"/>
          <w:szCs w:val="22"/>
        </w:rPr>
      </w:pPr>
      <w:r>
        <w:rPr>
          <w:rFonts w:ascii="Calibri" w:hAnsi="Calibri"/>
          <w:iCs/>
          <w:sz w:val="22"/>
          <w:szCs w:val="22"/>
        </w:rPr>
        <w:t xml:space="preserve">In Oregon, the ASR applies </w:t>
      </w:r>
      <w:r w:rsidRPr="0053710E">
        <w:rPr>
          <w:rFonts w:ascii="Calibri" w:hAnsi="Calibri"/>
          <w:iCs/>
          <w:sz w:val="22"/>
          <w:szCs w:val="22"/>
        </w:rPr>
        <w:t xml:space="preserve">in the third-party context, </w:t>
      </w:r>
      <w:r>
        <w:rPr>
          <w:rFonts w:ascii="Calibri" w:hAnsi="Calibri"/>
          <w:iCs/>
          <w:sz w:val="22"/>
          <w:szCs w:val="22"/>
        </w:rPr>
        <w:t xml:space="preserve">even </w:t>
      </w:r>
      <w:r w:rsidRPr="0053710E">
        <w:rPr>
          <w:rFonts w:ascii="Calibri" w:hAnsi="Calibri"/>
          <w:iCs/>
          <w:sz w:val="22"/>
          <w:szCs w:val="22"/>
        </w:rPr>
        <w:t xml:space="preserve">where the insurer does not directly sue its insured, but a defendant in a subrogation case seeks indemnity or contribution from a third-party who is insured by the plaintiff subrogee. </w:t>
      </w:r>
      <w:r w:rsidRPr="0053710E">
        <w:rPr>
          <w:rFonts w:ascii="Calibri" w:hAnsi="Calibri"/>
          <w:i/>
          <w:iCs/>
          <w:sz w:val="22"/>
          <w:szCs w:val="22"/>
        </w:rPr>
        <w:t>Factory Mut. Ins. Co. v. PERI Formworks Sys.</w:t>
      </w:r>
      <w:r w:rsidRPr="0053710E">
        <w:rPr>
          <w:rFonts w:ascii="Calibri" w:hAnsi="Calibri"/>
          <w:iCs/>
          <w:sz w:val="22"/>
          <w:szCs w:val="22"/>
        </w:rPr>
        <w:t>, 223 F. Supp. 3d 1133 (D. Or. 2016)</w:t>
      </w:r>
      <w:r>
        <w:rPr>
          <w:rFonts w:ascii="Calibri" w:hAnsi="Calibri"/>
          <w:iCs/>
          <w:sz w:val="22"/>
          <w:szCs w:val="22"/>
        </w:rPr>
        <w:t xml:space="preserve">; </w:t>
      </w:r>
      <w:r w:rsidRPr="0053710E">
        <w:rPr>
          <w:rFonts w:ascii="Calibri" w:hAnsi="Calibri"/>
          <w:i/>
          <w:iCs/>
          <w:sz w:val="22"/>
          <w:szCs w:val="22"/>
        </w:rPr>
        <w:t xml:space="preserve">Am. Hallmark Ins. Co. of Texas v. </w:t>
      </w:r>
      <w:proofErr w:type="spellStart"/>
      <w:r w:rsidRPr="0053710E">
        <w:rPr>
          <w:rFonts w:ascii="Calibri" w:hAnsi="Calibri"/>
          <w:i/>
          <w:iCs/>
          <w:sz w:val="22"/>
          <w:szCs w:val="22"/>
        </w:rPr>
        <w:t>Encadria</w:t>
      </w:r>
      <w:proofErr w:type="spellEnd"/>
      <w:r w:rsidRPr="0053710E">
        <w:rPr>
          <w:rFonts w:ascii="Calibri" w:hAnsi="Calibri"/>
          <w:i/>
          <w:iCs/>
          <w:sz w:val="22"/>
          <w:szCs w:val="22"/>
        </w:rPr>
        <w:t xml:space="preserve"> Staffing Sols. LLC</w:t>
      </w:r>
      <w:r w:rsidRPr="0053710E">
        <w:rPr>
          <w:rFonts w:ascii="Calibri" w:hAnsi="Calibri"/>
          <w:iCs/>
          <w:sz w:val="22"/>
          <w:szCs w:val="22"/>
        </w:rPr>
        <w:t>, 618 F. Supp. 3d 1070 (D. Or. 2022)</w:t>
      </w:r>
      <w:r>
        <w:rPr>
          <w:rFonts w:ascii="Calibri" w:hAnsi="Calibri"/>
          <w:iCs/>
          <w:sz w:val="22"/>
          <w:szCs w:val="22"/>
        </w:rPr>
        <w:t xml:space="preserve">. </w:t>
      </w:r>
    </w:p>
    <w:p w14:paraId="0A38A16F" w14:textId="77777777" w:rsidR="00935406" w:rsidRPr="008F013B" w:rsidRDefault="00935406" w:rsidP="006D4142">
      <w:pPr>
        <w:keepNext/>
        <w:spacing w:before="240" w:after="120"/>
        <w:jc w:val="both"/>
        <w:rPr>
          <w:rFonts w:ascii="Calibri" w:hAnsi="Calibri"/>
          <w:color w:val="0F243E"/>
          <w:sz w:val="24"/>
          <w:szCs w:val="24"/>
        </w:rPr>
      </w:pPr>
      <w:r w:rsidRPr="008F013B">
        <w:rPr>
          <w:rFonts w:ascii="Calibri" w:hAnsi="Calibri"/>
          <w:b/>
          <w:color w:val="0F243E"/>
          <w:sz w:val="24"/>
          <w:szCs w:val="24"/>
          <w:u w:val="single"/>
        </w:rPr>
        <w:t>PENNSYLVANIA</w:t>
      </w:r>
    </w:p>
    <w:p w14:paraId="3995CD1B" w14:textId="77777777" w:rsidR="001065AE" w:rsidRPr="00B0639F" w:rsidRDefault="001065AE" w:rsidP="00696E3D">
      <w:pPr>
        <w:spacing w:before="120" w:after="120"/>
        <w:jc w:val="both"/>
        <w:rPr>
          <w:rFonts w:ascii="Calibri" w:hAnsi="Calibri"/>
          <w:iCs/>
          <w:sz w:val="22"/>
          <w:szCs w:val="22"/>
        </w:rPr>
      </w:pPr>
      <w:r w:rsidRPr="00B0639F">
        <w:rPr>
          <w:rFonts w:ascii="Calibri" w:hAnsi="Calibri"/>
          <w:iCs/>
          <w:sz w:val="22"/>
          <w:szCs w:val="22"/>
        </w:rPr>
        <w:t xml:space="preserve">An insurer cannot recover by means of subrogation against its own insured. </w:t>
      </w:r>
      <w:r w:rsidRPr="00B0639F">
        <w:rPr>
          <w:rFonts w:ascii="Calibri" w:hAnsi="Calibri"/>
          <w:i/>
          <w:iCs/>
          <w:sz w:val="22"/>
          <w:szCs w:val="22"/>
        </w:rPr>
        <w:t xml:space="preserve">Remy </w:t>
      </w:r>
      <w:r w:rsidR="00B0639F" w:rsidRPr="00B0639F">
        <w:rPr>
          <w:rFonts w:ascii="Calibri" w:hAnsi="Calibri"/>
          <w:i/>
          <w:iCs/>
          <w:sz w:val="22"/>
          <w:szCs w:val="22"/>
        </w:rPr>
        <w:t>v. Michael D’</w:t>
      </w:r>
      <w:r w:rsidRPr="00B0639F">
        <w:rPr>
          <w:rFonts w:ascii="Calibri" w:hAnsi="Calibri"/>
          <w:i/>
          <w:iCs/>
          <w:sz w:val="22"/>
          <w:szCs w:val="22"/>
        </w:rPr>
        <w:t>s Carpet Outlets</w:t>
      </w:r>
      <w:r w:rsidRPr="00B0639F">
        <w:rPr>
          <w:rFonts w:ascii="Calibri" w:hAnsi="Calibri"/>
          <w:iCs/>
          <w:sz w:val="22"/>
          <w:szCs w:val="22"/>
        </w:rPr>
        <w:t xml:space="preserve">, 571 A.2d 446 (Pa. Super. 1990). An insurer cannot pay a general contractor for its losses and then attempt to recover from a subcontractor who is named, directly, or indirectly, as an additional insured in the same policy. </w:t>
      </w:r>
      <w:r w:rsidRPr="00B0639F">
        <w:rPr>
          <w:rFonts w:ascii="Calibri" w:hAnsi="Calibri"/>
          <w:i/>
          <w:iCs/>
          <w:sz w:val="22"/>
          <w:szCs w:val="22"/>
        </w:rPr>
        <w:t>Ke</w:t>
      </w:r>
      <w:r w:rsidR="00B0639F" w:rsidRPr="00B0639F">
        <w:rPr>
          <w:rFonts w:ascii="Calibri" w:hAnsi="Calibri"/>
          <w:i/>
          <w:iCs/>
          <w:sz w:val="22"/>
          <w:szCs w:val="22"/>
        </w:rPr>
        <w:t>ystone P</w:t>
      </w:r>
      <w:r w:rsidRPr="00B0639F">
        <w:rPr>
          <w:rFonts w:ascii="Calibri" w:hAnsi="Calibri"/>
          <w:i/>
          <w:iCs/>
          <w:sz w:val="22"/>
          <w:szCs w:val="22"/>
        </w:rPr>
        <w:t xml:space="preserve">aper Converters, Inc. v </w:t>
      </w:r>
      <w:proofErr w:type="spellStart"/>
      <w:r w:rsidRPr="00B0639F">
        <w:rPr>
          <w:rFonts w:ascii="Calibri" w:hAnsi="Calibri"/>
          <w:i/>
          <w:iCs/>
          <w:sz w:val="22"/>
          <w:szCs w:val="22"/>
        </w:rPr>
        <w:t>Neemar</w:t>
      </w:r>
      <w:proofErr w:type="spellEnd"/>
      <w:r w:rsidRPr="00B0639F">
        <w:rPr>
          <w:rFonts w:ascii="Calibri" w:hAnsi="Calibri"/>
          <w:i/>
          <w:iCs/>
          <w:sz w:val="22"/>
          <w:szCs w:val="22"/>
        </w:rPr>
        <w:t>, Inc.</w:t>
      </w:r>
      <w:r w:rsidRPr="00B0639F">
        <w:rPr>
          <w:rFonts w:ascii="Calibri" w:hAnsi="Calibri"/>
          <w:iCs/>
          <w:sz w:val="22"/>
          <w:szCs w:val="22"/>
        </w:rPr>
        <w:t>, 562 F. Supp. 1046 (E.D. Pa. 1983).</w:t>
      </w:r>
    </w:p>
    <w:p w14:paraId="42EA5DF9" w14:textId="77777777" w:rsidR="00F931C2" w:rsidRPr="008F013B" w:rsidRDefault="00935406" w:rsidP="00B0639F">
      <w:pPr>
        <w:autoSpaceDE/>
        <w:autoSpaceDN/>
        <w:adjustRightInd/>
        <w:spacing w:before="240" w:after="120"/>
        <w:rPr>
          <w:rFonts w:ascii="Calibri" w:hAnsi="Calibri" w:cs="Helvetica"/>
          <w:color w:val="0F243E"/>
          <w:sz w:val="24"/>
          <w:szCs w:val="24"/>
          <w:shd w:val="clear" w:color="auto" w:fill="FFFFFF"/>
        </w:rPr>
      </w:pPr>
      <w:r w:rsidRPr="008F013B">
        <w:rPr>
          <w:rFonts w:ascii="Calibri" w:hAnsi="Calibri"/>
          <w:b/>
          <w:color w:val="0F243E"/>
          <w:sz w:val="24"/>
          <w:szCs w:val="24"/>
          <w:u w:val="single"/>
        </w:rPr>
        <w:t>RHODE ISLAND</w:t>
      </w:r>
    </w:p>
    <w:p w14:paraId="3423F924" w14:textId="77777777" w:rsidR="00A61A30" w:rsidRPr="003E56CE" w:rsidRDefault="00A61A30" w:rsidP="00696E3D">
      <w:pPr>
        <w:spacing w:before="120" w:after="120"/>
        <w:jc w:val="both"/>
        <w:rPr>
          <w:rFonts w:ascii="Calibri" w:hAnsi="Calibri"/>
          <w:sz w:val="22"/>
          <w:szCs w:val="22"/>
        </w:rPr>
      </w:pPr>
      <w:r w:rsidRPr="003E56CE">
        <w:rPr>
          <w:rFonts w:ascii="Calibri" w:hAnsi="Calibri"/>
          <w:sz w:val="22"/>
          <w:szCs w:val="22"/>
        </w:rPr>
        <w:t xml:space="preserve">The </w:t>
      </w:r>
      <w:r w:rsidR="00B0639F" w:rsidRPr="003E56CE">
        <w:rPr>
          <w:rFonts w:ascii="Calibri" w:hAnsi="Calibri"/>
          <w:sz w:val="22"/>
          <w:szCs w:val="22"/>
        </w:rPr>
        <w:t>ASR</w:t>
      </w:r>
      <w:r w:rsidRPr="003E56CE">
        <w:rPr>
          <w:rFonts w:ascii="Calibri" w:hAnsi="Calibri"/>
          <w:sz w:val="22"/>
          <w:szCs w:val="22"/>
        </w:rPr>
        <w:t xml:space="preserve"> has not yet been embraced by Rhode Island courts. </w:t>
      </w:r>
      <w:r w:rsidRPr="003E56CE">
        <w:rPr>
          <w:rFonts w:ascii="Calibri" w:hAnsi="Calibri"/>
          <w:i/>
          <w:sz w:val="22"/>
          <w:szCs w:val="22"/>
        </w:rPr>
        <w:t>Nationwide Property &amp; Cas. Ins. Co. v. D.F. Pepper Const</w:t>
      </w:r>
      <w:r w:rsidR="003E56CE" w:rsidRPr="003E56CE">
        <w:rPr>
          <w:rFonts w:ascii="Calibri" w:hAnsi="Calibri"/>
          <w:i/>
          <w:sz w:val="22"/>
          <w:szCs w:val="22"/>
        </w:rPr>
        <w:t>r</w:t>
      </w:r>
      <w:r w:rsidRPr="003E56CE">
        <w:rPr>
          <w:rFonts w:ascii="Calibri" w:hAnsi="Calibri"/>
          <w:i/>
          <w:sz w:val="22"/>
          <w:szCs w:val="22"/>
        </w:rPr>
        <w:t>., Inc.</w:t>
      </w:r>
      <w:r w:rsidRPr="003E56CE">
        <w:rPr>
          <w:rFonts w:ascii="Calibri" w:hAnsi="Calibri"/>
          <w:sz w:val="22"/>
          <w:szCs w:val="22"/>
        </w:rPr>
        <w:t xml:space="preserve">, 59 A.3d 106 (R.I. 2013). A federal court applying </w:t>
      </w:r>
      <w:r w:rsidR="003E56CE" w:rsidRPr="003E56CE">
        <w:rPr>
          <w:rFonts w:ascii="Calibri" w:hAnsi="Calibri"/>
          <w:sz w:val="22"/>
          <w:szCs w:val="22"/>
        </w:rPr>
        <w:t>Rhode Island</w:t>
      </w:r>
      <w:r w:rsidRPr="003E56CE">
        <w:rPr>
          <w:rFonts w:ascii="Calibri" w:hAnsi="Calibri"/>
          <w:sz w:val="22"/>
          <w:szCs w:val="22"/>
        </w:rPr>
        <w:t xml:space="preserve"> law held that if an insurer has paid a loss to one of the insureds under its policy, it cannot subrogate against another party for whose benefit the insurance</w:t>
      </w:r>
      <w:r w:rsidR="003E56CE" w:rsidRPr="003E56CE">
        <w:rPr>
          <w:rFonts w:ascii="Calibri" w:hAnsi="Calibri"/>
          <w:sz w:val="22"/>
          <w:szCs w:val="22"/>
        </w:rPr>
        <w:t xml:space="preserve"> was written even if the latter’</w:t>
      </w:r>
      <w:r w:rsidRPr="003E56CE">
        <w:rPr>
          <w:rFonts w:ascii="Calibri" w:hAnsi="Calibri"/>
          <w:sz w:val="22"/>
          <w:szCs w:val="22"/>
        </w:rPr>
        <w:t xml:space="preserve">s negligence caused said loss, if there had been no design or fraud on his part. </w:t>
      </w:r>
      <w:r w:rsidRPr="003E56CE">
        <w:rPr>
          <w:rFonts w:ascii="Calibri" w:hAnsi="Calibri"/>
          <w:i/>
          <w:sz w:val="22"/>
          <w:szCs w:val="22"/>
        </w:rPr>
        <w:t>New Amsterdam Cas. Co. v. Homans-Kohler, Inc</w:t>
      </w:r>
      <w:r w:rsidRPr="003E56CE">
        <w:rPr>
          <w:rFonts w:ascii="Calibri" w:hAnsi="Calibri"/>
          <w:sz w:val="22"/>
          <w:szCs w:val="22"/>
        </w:rPr>
        <w:t>., 310 F.Supp. 374 (D.</w:t>
      </w:r>
      <w:r w:rsidR="003E56CE" w:rsidRPr="003E56CE">
        <w:rPr>
          <w:rFonts w:ascii="Calibri" w:hAnsi="Calibri"/>
          <w:sz w:val="22"/>
          <w:szCs w:val="22"/>
        </w:rPr>
        <w:t xml:space="preserve"> </w:t>
      </w:r>
      <w:r w:rsidRPr="003E56CE">
        <w:rPr>
          <w:rFonts w:ascii="Calibri" w:hAnsi="Calibri"/>
          <w:sz w:val="22"/>
          <w:szCs w:val="22"/>
        </w:rPr>
        <w:t xml:space="preserve">R.I. 1970). </w:t>
      </w:r>
      <w:r w:rsidR="003E56CE" w:rsidRPr="003E56CE">
        <w:rPr>
          <w:rFonts w:ascii="Calibri" w:hAnsi="Calibri"/>
          <w:sz w:val="22"/>
          <w:szCs w:val="22"/>
        </w:rPr>
        <w:t xml:space="preserve">In </w:t>
      </w:r>
      <w:r w:rsidRPr="003E56CE">
        <w:rPr>
          <w:rFonts w:ascii="Calibri" w:hAnsi="Calibri"/>
          <w:i/>
          <w:sz w:val="22"/>
          <w:szCs w:val="22"/>
        </w:rPr>
        <w:t>D.F. Pepper Const., Inc.</w:t>
      </w:r>
      <w:r w:rsidRPr="003E56CE">
        <w:rPr>
          <w:rFonts w:ascii="Calibri" w:hAnsi="Calibri"/>
          <w:sz w:val="22"/>
          <w:szCs w:val="22"/>
        </w:rPr>
        <w:t>, Pepper is the sole owner and shareholde</w:t>
      </w:r>
      <w:r w:rsidR="003E56CE" w:rsidRPr="003E56CE">
        <w:rPr>
          <w:rFonts w:ascii="Calibri" w:hAnsi="Calibri"/>
          <w:sz w:val="22"/>
          <w:szCs w:val="22"/>
        </w:rPr>
        <w:t>r of D.F. Pepper Construction (</w:t>
      </w:r>
      <w:r w:rsidR="006A4B98">
        <w:rPr>
          <w:rFonts w:ascii="Calibri" w:hAnsi="Calibri"/>
          <w:sz w:val="22"/>
          <w:szCs w:val="22"/>
        </w:rPr>
        <w:t>“</w:t>
      </w:r>
      <w:r w:rsidRPr="003E56CE">
        <w:rPr>
          <w:rFonts w:ascii="Calibri" w:hAnsi="Calibri"/>
          <w:sz w:val="22"/>
          <w:szCs w:val="22"/>
        </w:rPr>
        <w:t>DFP</w:t>
      </w:r>
      <w:r w:rsidR="006A4B98">
        <w:rPr>
          <w:rFonts w:ascii="Calibri" w:hAnsi="Calibri"/>
          <w:sz w:val="22"/>
          <w:szCs w:val="22"/>
        </w:rPr>
        <w:t>”</w:t>
      </w:r>
      <w:r w:rsidRPr="003E56CE">
        <w:rPr>
          <w:rFonts w:ascii="Calibri" w:hAnsi="Calibri"/>
          <w:sz w:val="22"/>
          <w:szCs w:val="22"/>
        </w:rPr>
        <w:t>). Pepper, while driving a dump truck owned by DFP and insured by Merch</w:t>
      </w:r>
      <w:r w:rsidR="003E56CE" w:rsidRPr="003E56CE">
        <w:rPr>
          <w:rFonts w:ascii="Calibri" w:hAnsi="Calibri"/>
          <w:sz w:val="22"/>
          <w:szCs w:val="22"/>
        </w:rPr>
        <w:t>ants Mutual Insurance Company (</w:t>
      </w:r>
      <w:r w:rsidR="006A4B98">
        <w:rPr>
          <w:rFonts w:ascii="Calibri" w:hAnsi="Calibri"/>
          <w:sz w:val="22"/>
          <w:szCs w:val="22"/>
        </w:rPr>
        <w:t>“</w:t>
      </w:r>
      <w:r w:rsidRPr="003E56CE">
        <w:rPr>
          <w:rFonts w:ascii="Calibri" w:hAnsi="Calibri"/>
          <w:sz w:val="22"/>
          <w:szCs w:val="22"/>
        </w:rPr>
        <w:t>Merchant</w:t>
      </w:r>
      <w:r w:rsidR="006A4B98">
        <w:rPr>
          <w:rFonts w:ascii="Calibri" w:hAnsi="Calibri"/>
          <w:sz w:val="22"/>
          <w:szCs w:val="22"/>
        </w:rPr>
        <w:t>”</w:t>
      </w:r>
      <w:r w:rsidRPr="003E56CE">
        <w:rPr>
          <w:rFonts w:ascii="Calibri" w:hAnsi="Calibri"/>
          <w:sz w:val="22"/>
          <w:szCs w:val="22"/>
        </w:rPr>
        <w:t>), hit a patch of black ice and crashed into his own home that was insured by Nationwide Pr</w:t>
      </w:r>
      <w:r w:rsidR="003E56CE" w:rsidRPr="003E56CE">
        <w:rPr>
          <w:rFonts w:ascii="Calibri" w:hAnsi="Calibri"/>
          <w:sz w:val="22"/>
          <w:szCs w:val="22"/>
        </w:rPr>
        <w:t>operty and Casualty Insurance (</w:t>
      </w:r>
      <w:r w:rsidR="006A4B98">
        <w:rPr>
          <w:rFonts w:ascii="Calibri" w:hAnsi="Calibri"/>
          <w:sz w:val="22"/>
          <w:szCs w:val="22"/>
        </w:rPr>
        <w:t>“</w:t>
      </w:r>
      <w:r w:rsidRPr="003E56CE">
        <w:rPr>
          <w:rFonts w:ascii="Calibri" w:hAnsi="Calibri"/>
          <w:sz w:val="22"/>
          <w:szCs w:val="22"/>
        </w:rPr>
        <w:t>Nationwide</w:t>
      </w:r>
      <w:r w:rsidR="006A4B98">
        <w:rPr>
          <w:rFonts w:ascii="Calibri" w:hAnsi="Calibri"/>
          <w:sz w:val="22"/>
          <w:szCs w:val="22"/>
        </w:rPr>
        <w:t>”</w:t>
      </w:r>
      <w:r w:rsidRPr="003E56CE">
        <w:rPr>
          <w:rFonts w:ascii="Calibri" w:hAnsi="Calibri"/>
          <w:sz w:val="22"/>
          <w:szCs w:val="22"/>
        </w:rPr>
        <w:t xml:space="preserve">). Nationwide paid for the damages to the home and then sought to subrogate against DFP. The trial judge ruled that the ASR was not invoked as Pepper and DFP were distinct legal entities. On appeal, DFP argued that the trial court erred in finding that the ASR was not invoked because Nationwide subrogating against DFP would result in Merchant paying Nationwide and then subrogating Pepper for the damages that Merchant would have to pay to Nationwide. Meaning that if Nationwide subrogated against DFP, Nationwide would also be indirectly subrogating against their insured, Pepper. The appeals court agreed with the trial court that the ASR was not invoked in this case, and that the appropriate time to raise the ASR in court would not be until Merchant attempted to subrogate against Pepper. </w:t>
      </w:r>
    </w:p>
    <w:p w14:paraId="6319B231" w14:textId="77777777" w:rsidR="00024939" w:rsidRPr="008F013B" w:rsidRDefault="00935406" w:rsidP="0058744C">
      <w:pPr>
        <w:keepNext/>
        <w:spacing w:before="240" w:after="120"/>
        <w:jc w:val="both"/>
        <w:rPr>
          <w:rFonts w:ascii="Calibri" w:hAnsi="Calibri"/>
          <w:color w:val="0F243E"/>
          <w:sz w:val="24"/>
          <w:szCs w:val="24"/>
        </w:rPr>
      </w:pPr>
      <w:r w:rsidRPr="008F013B">
        <w:rPr>
          <w:rFonts w:ascii="Calibri" w:hAnsi="Calibri"/>
          <w:b/>
          <w:color w:val="0F243E"/>
          <w:sz w:val="24"/>
          <w:szCs w:val="24"/>
          <w:u w:val="single"/>
        </w:rPr>
        <w:t>SOUTH CAROLINA</w:t>
      </w:r>
    </w:p>
    <w:p w14:paraId="6BD5F304" w14:textId="77777777" w:rsidR="006318A0" w:rsidRPr="003E56CE" w:rsidRDefault="00770FC4" w:rsidP="00696E3D">
      <w:pPr>
        <w:spacing w:before="120" w:after="120"/>
        <w:jc w:val="both"/>
        <w:rPr>
          <w:rFonts w:ascii="Calibri" w:hAnsi="Calibri"/>
          <w:sz w:val="22"/>
          <w:szCs w:val="22"/>
        </w:rPr>
      </w:pPr>
      <w:r w:rsidRPr="003E56CE">
        <w:rPr>
          <w:rFonts w:ascii="Calibri" w:hAnsi="Calibri"/>
          <w:sz w:val="22"/>
          <w:szCs w:val="22"/>
        </w:rPr>
        <w:t xml:space="preserve">No right of subrogation arises in favor of the insurer against its own insured or against a person who holds the status of an additional insured by the terms of the policy. </w:t>
      </w:r>
      <w:r w:rsidRPr="003E56CE">
        <w:rPr>
          <w:rFonts w:ascii="Calibri" w:hAnsi="Calibri"/>
          <w:i/>
          <w:sz w:val="22"/>
          <w:szCs w:val="22"/>
        </w:rPr>
        <w:t>Aetna Cas. &amp; Su</w:t>
      </w:r>
      <w:r w:rsidR="00F4040B" w:rsidRPr="003E56CE">
        <w:rPr>
          <w:rFonts w:ascii="Calibri" w:hAnsi="Calibri"/>
          <w:i/>
          <w:sz w:val="22"/>
          <w:szCs w:val="22"/>
        </w:rPr>
        <w:t>r. C</w:t>
      </w:r>
      <w:r w:rsidR="003E56CE" w:rsidRPr="003E56CE">
        <w:rPr>
          <w:rFonts w:ascii="Calibri" w:hAnsi="Calibri"/>
          <w:i/>
          <w:sz w:val="22"/>
          <w:szCs w:val="22"/>
        </w:rPr>
        <w:t>o</w:t>
      </w:r>
      <w:r w:rsidR="00F4040B" w:rsidRPr="003E56CE">
        <w:rPr>
          <w:rFonts w:ascii="Calibri" w:hAnsi="Calibri"/>
          <w:i/>
          <w:sz w:val="22"/>
          <w:szCs w:val="22"/>
        </w:rPr>
        <w:t>. v. Security Forces, Inc.</w:t>
      </w:r>
      <w:r w:rsidR="00F4040B" w:rsidRPr="003E56CE">
        <w:rPr>
          <w:rFonts w:ascii="Calibri" w:hAnsi="Calibri"/>
          <w:sz w:val="22"/>
          <w:szCs w:val="22"/>
        </w:rPr>
        <w:t xml:space="preserve">, </w:t>
      </w:r>
      <w:r w:rsidRPr="003E56CE">
        <w:rPr>
          <w:rFonts w:ascii="Calibri" w:hAnsi="Calibri"/>
          <w:sz w:val="22"/>
          <w:szCs w:val="22"/>
        </w:rPr>
        <w:t xml:space="preserve">347 S.E.2d 903 (Ct. App. 1986). </w:t>
      </w:r>
    </w:p>
    <w:p w14:paraId="09D8CBE7" w14:textId="77777777" w:rsidR="00935406" w:rsidRPr="008F013B" w:rsidRDefault="00935406" w:rsidP="003E56CE">
      <w:pPr>
        <w:spacing w:before="240" w:after="120"/>
        <w:jc w:val="both"/>
        <w:rPr>
          <w:rFonts w:ascii="Calibri" w:hAnsi="Calibri"/>
          <w:b/>
          <w:color w:val="0F243E"/>
          <w:sz w:val="24"/>
          <w:szCs w:val="24"/>
        </w:rPr>
      </w:pPr>
      <w:r w:rsidRPr="008F013B">
        <w:rPr>
          <w:rFonts w:ascii="Calibri" w:hAnsi="Calibri"/>
          <w:b/>
          <w:color w:val="0F243E"/>
          <w:sz w:val="24"/>
          <w:szCs w:val="24"/>
          <w:u w:val="single"/>
        </w:rPr>
        <w:t>SOUTH DAKOTA</w:t>
      </w:r>
    </w:p>
    <w:p w14:paraId="5D1322AD" w14:textId="6143C7A9" w:rsidR="00024939" w:rsidRPr="003E56CE" w:rsidRDefault="003E56CE" w:rsidP="00696E3D">
      <w:pPr>
        <w:spacing w:before="120" w:after="120"/>
        <w:jc w:val="both"/>
        <w:rPr>
          <w:rFonts w:ascii="Calibri" w:hAnsi="Calibri"/>
          <w:sz w:val="22"/>
          <w:szCs w:val="22"/>
        </w:rPr>
      </w:pPr>
      <w:r w:rsidRPr="003E56CE">
        <w:rPr>
          <w:rFonts w:ascii="Calibri" w:hAnsi="Calibri"/>
          <w:sz w:val="22"/>
          <w:szCs w:val="22"/>
        </w:rPr>
        <w:t>ASR</w:t>
      </w:r>
      <w:r w:rsidR="00024939" w:rsidRPr="003E56CE">
        <w:rPr>
          <w:rFonts w:ascii="Calibri" w:hAnsi="Calibri"/>
          <w:sz w:val="22"/>
          <w:szCs w:val="22"/>
        </w:rPr>
        <w:t xml:space="preserve"> yet to be</w:t>
      </w:r>
      <w:r w:rsidR="00014562">
        <w:rPr>
          <w:rFonts w:ascii="Calibri" w:hAnsi="Calibri"/>
          <w:sz w:val="22"/>
          <w:szCs w:val="22"/>
        </w:rPr>
        <w:t xml:space="preserve"> specifically</w:t>
      </w:r>
      <w:r w:rsidR="00024939" w:rsidRPr="003E56CE">
        <w:rPr>
          <w:rFonts w:ascii="Calibri" w:hAnsi="Calibri"/>
          <w:sz w:val="22"/>
          <w:szCs w:val="22"/>
        </w:rPr>
        <w:t xml:space="preserve"> determined.</w:t>
      </w:r>
      <w:r w:rsidR="00014562">
        <w:rPr>
          <w:rFonts w:ascii="Calibri" w:hAnsi="Calibri"/>
          <w:sz w:val="22"/>
          <w:szCs w:val="22"/>
        </w:rPr>
        <w:t xml:space="preserve"> However, i</w:t>
      </w:r>
      <w:r w:rsidR="00014562" w:rsidRPr="00014562">
        <w:rPr>
          <w:rFonts w:ascii="Calibri" w:hAnsi="Calibri"/>
          <w:sz w:val="22"/>
          <w:szCs w:val="22"/>
        </w:rPr>
        <w:t xml:space="preserve">n </w:t>
      </w:r>
      <w:r w:rsidR="00014562" w:rsidRPr="006D2E87">
        <w:rPr>
          <w:rFonts w:ascii="Calibri" w:hAnsi="Calibri"/>
          <w:i/>
          <w:iCs/>
          <w:sz w:val="22"/>
          <w:szCs w:val="22"/>
        </w:rPr>
        <w:t>James v. State Farm Mutual Auto</w:t>
      </w:r>
      <w:r w:rsidR="006D2E87">
        <w:rPr>
          <w:rFonts w:ascii="Calibri" w:hAnsi="Calibri"/>
          <w:i/>
          <w:iCs/>
          <w:sz w:val="22"/>
          <w:szCs w:val="22"/>
        </w:rPr>
        <w:t>.</w:t>
      </w:r>
      <w:r w:rsidR="00014562" w:rsidRPr="006D2E87">
        <w:rPr>
          <w:rFonts w:ascii="Calibri" w:hAnsi="Calibri"/>
          <w:i/>
          <w:iCs/>
          <w:sz w:val="22"/>
          <w:szCs w:val="22"/>
        </w:rPr>
        <w:t xml:space="preserve"> Ins</w:t>
      </w:r>
      <w:r w:rsidR="006D2E87">
        <w:rPr>
          <w:rFonts w:ascii="Calibri" w:hAnsi="Calibri"/>
          <w:i/>
          <w:iCs/>
          <w:sz w:val="22"/>
          <w:szCs w:val="22"/>
        </w:rPr>
        <w:t>.</w:t>
      </w:r>
      <w:r w:rsidR="00014562" w:rsidRPr="006D2E87">
        <w:rPr>
          <w:rFonts w:ascii="Calibri" w:hAnsi="Calibri"/>
          <w:i/>
          <w:iCs/>
          <w:sz w:val="22"/>
          <w:szCs w:val="22"/>
        </w:rPr>
        <w:t xml:space="preserve"> Co</w:t>
      </w:r>
      <w:r w:rsidR="006D2E87">
        <w:rPr>
          <w:rFonts w:ascii="Calibri" w:hAnsi="Calibri"/>
          <w:i/>
          <w:iCs/>
          <w:sz w:val="22"/>
          <w:szCs w:val="22"/>
        </w:rPr>
        <w:t>.</w:t>
      </w:r>
      <w:r w:rsidR="00014562" w:rsidRPr="00014562">
        <w:rPr>
          <w:rFonts w:ascii="Calibri" w:hAnsi="Calibri"/>
          <w:sz w:val="22"/>
          <w:szCs w:val="22"/>
        </w:rPr>
        <w:t xml:space="preserve">, 929 N.W.2d 541 (S.D. 2019), State Farm insured both drivers in a rear-end accident and then sought subrogation of $5,000 in Med Pay benefits paid under the plaintiff’s policy. The court held that State Farm could not subrogate against another of its </w:t>
      </w:r>
      <w:r w:rsidR="006D2E87" w:rsidRPr="00014562">
        <w:rPr>
          <w:rFonts w:ascii="Calibri" w:hAnsi="Calibri"/>
          <w:sz w:val="22"/>
          <w:szCs w:val="22"/>
        </w:rPr>
        <w:t>insureds but</w:t>
      </w:r>
      <w:r w:rsidR="00014562" w:rsidRPr="00014562">
        <w:rPr>
          <w:rFonts w:ascii="Calibri" w:hAnsi="Calibri"/>
          <w:sz w:val="22"/>
          <w:szCs w:val="22"/>
        </w:rPr>
        <w:t xml:space="preserve"> noted that the reimbursement clause in the plaintiff’s policy was ambiguous. The policy stated that “if we make payment under this policy and the person or organization to or for whom we make payment recovers or has recovered from another person or organization”, but the policy defined “person” as “a human being” but “organization” was left without a definition. The insured argued that the term “person” was ambiguous because it could also be interpreted to require reimbursement only when the insured recovers from another person or organization, but not another insured by State Farm. The insured contended that, here, there is no other “person or organization”—there is only State Farm. For some reason, the court held that there were two “equally reasonable” interpretations of the reimbursement provision, and because ambiguity is construed most strongly against the insurer and in favor of the insured, the language “another person or organization” in the reimbursement provision did not include State Farm or any of its insureds. Therefore, the court held that State Farm has no contractual right to reimbursement for the $ 5,000 paid to James for medical expenses under the policy. While this was less of an anti-subrogation case and more of an “ambiguous policy language” case, it does address the insurer being on both sides of a subrogation action.</w:t>
      </w:r>
    </w:p>
    <w:p w14:paraId="422624CF" w14:textId="77777777" w:rsidR="00024939" w:rsidRPr="008F013B" w:rsidRDefault="00935406" w:rsidP="009543CA">
      <w:pPr>
        <w:keepNext/>
        <w:spacing w:before="240" w:after="120"/>
        <w:rPr>
          <w:rFonts w:ascii="Calibri" w:hAnsi="Calibri" w:cs="Times New Roman"/>
          <w:color w:val="0F243E"/>
          <w:sz w:val="24"/>
          <w:szCs w:val="24"/>
        </w:rPr>
      </w:pPr>
      <w:r w:rsidRPr="008F013B">
        <w:rPr>
          <w:rFonts w:ascii="Calibri" w:hAnsi="Calibri"/>
          <w:b/>
          <w:color w:val="0F243E"/>
          <w:sz w:val="24"/>
          <w:szCs w:val="24"/>
          <w:u w:val="single"/>
        </w:rPr>
        <w:t>TENNESSEE</w:t>
      </w:r>
    </w:p>
    <w:p w14:paraId="4C5EEA7F" w14:textId="6562408E" w:rsidR="00024939" w:rsidRPr="003E56CE" w:rsidRDefault="00024939" w:rsidP="003E56CE">
      <w:pPr>
        <w:spacing w:before="120" w:after="120"/>
        <w:jc w:val="both"/>
        <w:rPr>
          <w:rFonts w:ascii="Calibri" w:hAnsi="Calibri" w:cs="Times New Roman"/>
          <w:b/>
          <w:sz w:val="22"/>
          <w:szCs w:val="22"/>
        </w:rPr>
      </w:pPr>
      <w:r w:rsidRPr="003E56CE">
        <w:rPr>
          <w:rFonts w:ascii="Calibri" w:hAnsi="Calibri" w:cs="Times New Roman"/>
          <w:sz w:val="22"/>
          <w:szCs w:val="22"/>
        </w:rPr>
        <w:t>An insurer cannot subrogate against a wrongdoer if the wrongdoer is an insured under the same policy</w:t>
      </w:r>
      <w:r w:rsidRPr="003E56CE">
        <w:rPr>
          <w:rFonts w:ascii="Calibri" w:hAnsi="Calibri" w:cs="Times New Roman"/>
          <w:i/>
          <w:sz w:val="22"/>
          <w:szCs w:val="22"/>
        </w:rPr>
        <w:t xml:space="preserve">. </w:t>
      </w:r>
      <w:proofErr w:type="spellStart"/>
      <w:r w:rsidRPr="003E56CE">
        <w:rPr>
          <w:rFonts w:ascii="Calibri" w:hAnsi="Calibri" w:cs="Times New Roman"/>
          <w:i/>
          <w:sz w:val="22"/>
          <w:szCs w:val="22"/>
        </w:rPr>
        <w:t>Dattel</w:t>
      </w:r>
      <w:proofErr w:type="spellEnd"/>
      <w:r w:rsidRPr="003E56CE">
        <w:rPr>
          <w:rFonts w:ascii="Calibri" w:hAnsi="Calibri" w:cs="Times New Roman"/>
          <w:i/>
          <w:sz w:val="22"/>
          <w:szCs w:val="22"/>
        </w:rPr>
        <w:t xml:space="preserve"> Family</w:t>
      </w:r>
      <w:r w:rsidR="003E56CE" w:rsidRPr="003E56CE">
        <w:rPr>
          <w:rFonts w:ascii="Calibri" w:hAnsi="Calibri" w:cs="Times New Roman"/>
          <w:i/>
          <w:sz w:val="22"/>
          <w:szCs w:val="22"/>
        </w:rPr>
        <w:t>,</w:t>
      </w:r>
      <w:r w:rsidRPr="003E56CE">
        <w:rPr>
          <w:rFonts w:ascii="Calibri" w:hAnsi="Calibri" w:cs="Times New Roman"/>
          <w:i/>
          <w:sz w:val="22"/>
          <w:szCs w:val="22"/>
        </w:rPr>
        <w:t xml:space="preserve"> Ltd. Partnership v. Wintz</w:t>
      </w:r>
      <w:r w:rsidRPr="003E56CE">
        <w:rPr>
          <w:rFonts w:ascii="Calibri" w:hAnsi="Calibri" w:cs="Times New Roman"/>
          <w:sz w:val="22"/>
          <w:szCs w:val="22"/>
        </w:rPr>
        <w:t>, 250 S.W.3d 883 (Tenn. App. 2007) If a policy is taken out by the mortgagor for the mutual benefit of the mortgagor and mortgagee, mortgagor and mortgagee are co-insured parties and</w:t>
      </w:r>
      <w:r w:rsidR="003E56CE" w:rsidRPr="003E56CE">
        <w:rPr>
          <w:rFonts w:ascii="Calibri" w:hAnsi="Calibri" w:cs="Times New Roman"/>
          <w:sz w:val="22"/>
          <w:szCs w:val="22"/>
        </w:rPr>
        <w:t>,</w:t>
      </w:r>
      <w:r w:rsidRPr="003E56CE">
        <w:rPr>
          <w:rFonts w:ascii="Calibri" w:hAnsi="Calibri" w:cs="Times New Roman"/>
          <w:sz w:val="22"/>
          <w:szCs w:val="22"/>
        </w:rPr>
        <w:t xml:space="preserve"> therefore</w:t>
      </w:r>
      <w:r w:rsidR="003E56CE" w:rsidRPr="003E56CE">
        <w:rPr>
          <w:rFonts w:ascii="Calibri" w:hAnsi="Calibri" w:cs="Times New Roman"/>
          <w:sz w:val="22"/>
          <w:szCs w:val="22"/>
        </w:rPr>
        <w:t>,</w:t>
      </w:r>
      <w:r w:rsidRPr="003E56CE">
        <w:rPr>
          <w:rFonts w:ascii="Calibri" w:hAnsi="Calibri" w:cs="Times New Roman"/>
          <w:sz w:val="22"/>
          <w:szCs w:val="22"/>
        </w:rPr>
        <w:t xml:space="preserve"> subrogation is forbidden against either party. </w:t>
      </w:r>
      <w:r w:rsidRPr="003E56CE">
        <w:rPr>
          <w:rFonts w:ascii="Calibri" w:hAnsi="Calibri" w:cs="Times New Roman"/>
          <w:i/>
          <w:sz w:val="22"/>
          <w:szCs w:val="22"/>
        </w:rPr>
        <w:t>Miller v. Russell</w:t>
      </w:r>
      <w:r w:rsidRPr="003E56CE">
        <w:rPr>
          <w:rFonts w:ascii="Calibri" w:hAnsi="Calibri" w:cs="Times New Roman"/>
          <w:sz w:val="22"/>
          <w:szCs w:val="22"/>
        </w:rPr>
        <w:t xml:space="preserve">, 674 S.W.2d 290 (Tenn. Ct. App. 1983). The ASR does not prevent an insurer from bringing a subrogation claim against its own insured if the underlying policy does not cover the risk at issues. </w:t>
      </w:r>
      <w:r w:rsidRPr="003E56CE">
        <w:rPr>
          <w:rFonts w:ascii="Calibri" w:hAnsi="Calibri" w:cs="Times New Roman"/>
          <w:i/>
          <w:sz w:val="22"/>
          <w:szCs w:val="22"/>
        </w:rPr>
        <w:t>Phoenix  Co. v Estate of Garnier</w:t>
      </w:r>
      <w:r w:rsidRPr="003E56CE">
        <w:rPr>
          <w:rFonts w:ascii="Calibri" w:hAnsi="Calibri" w:cs="Times New Roman"/>
          <w:sz w:val="22"/>
          <w:szCs w:val="22"/>
        </w:rPr>
        <w:t>, 212 S.W.2d 270 (Tenn.</w:t>
      </w:r>
      <w:r w:rsidR="00374CDE" w:rsidRPr="003E56CE">
        <w:rPr>
          <w:rFonts w:ascii="Calibri" w:hAnsi="Calibri" w:cs="Times New Roman"/>
          <w:sz w:val="22"/>
          <w:szCs w:val="22"/>
        </w:rPr>
        <w:t xml:space="preserve"> </w:t>
      </w:r>
      <w:r w:rsidRPr="003E56CE">
        <w:rPr>
          <w:rFonts w:ascii="Calibri" w:hAnsi="Calibri" w:cs="Times New Roman"/>
          <w:sz w:val="22"/>
          <w:szCs w:val="22"/>
        </w:rPr>
        <w:t>Ct.</w:t>
      </w:r>
      <w:r w:rsidR="00374CDE" w:rsidRPr="003E56CE">
        <w:rPr>
          <w:rFonts w:ascii="Calibri" w:hAnsi="Calibri" w:cs="Times New Roman"/>
          <w:sz w:val="22"/>
          <w:szCs w:val="22"/>
        </w:rPr>
        <w:t xml:space="preserve"> </w:t>
      </w:r>
      <w:r w:rsidRPr="003E56CE">
        <w:rPr>
          <w:rFonts w:ascii="Calibri" w:hAnsi="Calibri" w:cs="Times New Roman"/>
          <w:sz w:val="22"/>
          <w:szCs w:val="22"/>
        </w:rPr>
        <w:t>App.</w:t>
      </w:r>
      <w:r w:rsidR="00374CDE" w:rsidRPr="003E56CE">
        <w:rPr>
          <w:rFonts w:ascii="Calibri" w:hAnsi="Calibri" w:cs="Times New Roman"/>
          <w:sz w:val="22"/>
          <w:szCs w:val="22"/>
        </w:rPr>
        <w:t xml:space="preserve"> </w:t>
      </w:r>
      <w:r w:rsidRPr="003E56CE">
        <w:rPr>
          <w:rFonts w:ascii="Calibri" w:hAnsi="Calibri" w:cs="Times New Roman"/>
          <w:sz w:val="22"/>
          <w:szCs w:val="22"/>
        </w:rPr>
        <w:t>2006).</w:t>
      </w:r>
      <w:r w:rsidR="00BB562E">
        <w:rPr>
          <w:rFonts w:ascii="Calibri" w:hAnsi="Calibri" w:cs="Times New Roman"/>
          <w:sz w:val="22"/>
          <w:szCs w:val="22"/>
        </w:rPr>
        <w:t xml:space="preserve"> In </w:t>
      </w:r>
      <w:r w:rsidR="00BB562E" w:rsidRPr="00B96AC5">
        <w:rPr>
          <w:rFonts w:ascii="Calibri" w:hAnsi="Calibri" w:cs="Times New Roman"/>
          <w:i/>
          <w:iCs/>
          <w:sz w:val="22"/>
          <w:szCs w:val="22"/>
        </w:rPr>
        <w:t>Certain Underwriters at Lloyds, London v. Sunbelt Rentals, Inc</w:t>
      </w:r>
      <w:r w:rsidR="00BB562E">
        <w:rPr>
          <w:rFonts w:ascii="Calibri" w:hAnsi="Calibri" w:cs="Times New Roman"/>
          <w:sz w:val="22"/>
          <w:szCs w:val="22"/>
        </w:rPr>
        <w:t>., 790 Appx. 723 (6</w:t>
      </w:r>
      <w:r w:rsidR="00BB562E" w:rsidRPr="00B96AC5">
        <w:rPr>
          <w:rFonts w:ascii="Calibri" w:hAnsi="Calibri" w:cs="Times New Roman"/>
          <w:sz w:val="22"/>
          <w:szCs w:val="22"/>
          <w:vertAlign w:val="superscript"/>
        </w:rPr>
        <w:t>th</w:t>
      </w:r>
      <w:r w:rsidR="00BB562E">
        <w:rPr>
          <w:rFonts w:ascii="Calibri" w:hAnsi="Calibri" w:cs="Times New Roman"/>
          <w:sz w:val="22"/>
          <w:szCs w:val="22"/>
        </w:rPr>
        <w:t xml:space="preserve"> Cir. 2019), the </w:t>
      </w:r>
      <w:r w:rsidR="00BB562E" w:rsidRPr="00B96AC5">
        <w:rPr>
          <w:rFonts w:ascii="Calibri" w:hAnsi="Calibri" w:cs="Times New Roman"/>
          <w:b/>
          <w:bCs/>
          <w:sz w:val="22"/>
          <w:szCs w:val="22"/>
        </w:rPr>
        <w:t>6</w:t>
      </w:r>
      <w:r w:rsidR="00BB562E" w:rsidRPr="00B96AC5">
        <w:rPr>
          <w:rFonts w:ascii="Calibri" w:hAnsi="Calibri" w:cs="Times New Roman"/>
          <w:b/>
          <w:bCs/>
          <w:sz w:val="22"/>
          <w:szCs w:val="22"/>
          <w:vertAlign w:val="superscript"/>
        </w:rPr>
        <w:t>th</w:t>
      </w:r>
      <w:r w:rsidR="00BB562E" w:rsidRPr="00B96AC5">
        <w:rPr>
          <w:rFonts w:ascii="Calibri" w:hAnsi="Calibri" w:cs="Times New Roman"/>
          <w:b/>
          <w:bCs/>
          <w:sz w:val="22"/>
          <w:szCs w:val="22"/>
        </w:rPr>
        <w:t xml:space="preserve"> Circuit</w:t>
      </w:r>
      <w:r w:rsidR="00BB562E">
        <w:rPr>
          <w:rFonts w:ascii="Calibri" w:hAnsi="Calibri" w:cs="Times New Roman"/>
          <w:sz w:val="22"/>
          <w:szCs w:val="22"/>
        </w:rPr>
        <w:t xml:space="preserve"> ruled that in a builder’s risk policy, where the policy was ambiguous and could be understood in two ways as to whether Lloyd’s could sue the tortfeasor (additional insured under the policy), the question must be resolved in favor of the insured. Therefore, the court held that pursuing Sunbelt Rentals would violate the anti-subrogation rule. </w:t>
      </w:r>
    </w:p>
    <w:p w14:paraId="7056E70C" w14:textId="77777777" w:rsidR="00024939" w:rsidRPr="008F013B" w:rsidRDefault="00935406" w:rsidP="00BA2F54">
      <w:pPr>
        <w:keepNext/>
        <w:spacing w:before="240" w:after="120"/>
        <w:rPr>
          <w:rFonts w:ascii="Calibri" w:hAnsi="Calibri"/>
          <w:color w:val="0F243E"/>
          <w:sz w:val="24"/>
          <w:szCs w:val="24"/>
        </w:rPr>
      </w:pPr>
      <w:r w:rsidRPr="008F013B">
        <w:rPr>
          <w:rFonts w:ascii="Calibri" w:hAnsi="Calibri"/>
          <w:b/>
          <w:color w:val="0F243E"/>
          <w:sz w:val="24"/>
          <w:szCs w:val="24"/>
          <w:u w:val="single"/>
        </w:rPr>
        <w:t>TEXAS</w:t>
      </w:r>
    </w:p>
    <w:p w14:paraId="50EA9A30" w14:textId="77777777" w:rsidR="00024939" w:rsidRPr="004D7A9E" w:rsidRDefault="00024939" w:rsidP="00696E3D">
      <w:pPr>
        <w:spacing w:before="120" w:after="120"/>
        <w:jc w:val="both"/>
        <w:rPr>
          <w:rFonts w:ascii="Calibri" w:hAnsi="Calibri"/>
          <w:sz w:val="22"/>
          <w:szCs w:val="22"/>
        </w:rPr>
      </w:pPr>
      <w:r w:rsidRPr="004D7A9E">
        <w:rPr>
          <w:rFonts w:ascii="Calibri" w:hAnsi="Calibri"/>
          <w:sz w:val="22"/>
          <w:szCs w:val="22"/>
        </w:rPr>
        <w:t xml:space="preserve">Absent a contractual or statutory right, an insurer cannot subrogate against its own insured for a claim arising </w:t>
      </w:r>
      <w:r w:rsidRPr="004D7A9E">
        <w:rPr>
          <w:rFonts w:ascii="Calibri" w:hAnsi="Calibri"/>
          <w:i/>
          <w:sz w:val="22"/>
          <w:szCs w:val="22"/>
        </w:rPr>
        <w:t>from the very same risk</w:t>
      </w:r>
      <w:r w:rsidRPr="004D7A9E">
        <w:rPr>
          <w:rFonts w:ascii="Calibri" w:hAnsi="Calibri"/>
          <w:sz w:val="22"/>
          <w:szCs w:val="22"/>
        </w:rPr>
        <w:t xml:space="preserve"> for which the insured is covered. </w:t>
      </w:r>
      <w:r w:rsidRPr="004D7A9E">
        <w:rPr>
          <w:rFonts w:ascii="Calibri" w:hAnsi="Calibri"/>
          <w:i/>
          <w:sz w:val="22"/>
          <w:szCs w:val="22"/>
        </w:rPr>
        <w:t xml:space="preserve">Matagorda County v. Texas </w:t>
      </w:r>
      <w:proofErr w:type="spellStart"/>
      <w:r w:rsidRPr="004D7A9E">
        <w:rPr>
          <w:rFonts w:ascii="Calibri" w:hAnsi="Calibri"/>
          <w:i/>
          <w:sz w:val="22"/>
          <w:szCs w:val="22"/>
        </w:rPr>
        <w:t>Ass’n</w:t>
      </w:r>
      <w:proofErr w:type="spellEnd"/>
      <w:r w:rsidRPr="004D7A9E">
        <w:rPr>
          <w:rFonts w:ascii="Calibri" w:hAnsi="Calibri"/>
          <w:i/>
          <w:sz w:val="22"/>
          <w:szCs w:val="22"/>
        </w:rPr>
        <w:t xml:space="preserve"> of Counties</w:t>
      </w:r>
      <w:r w:rsidRPr="004D7A9E">
        <w:rPr>
          <w:rFonts w:ascii="Calibri" w:hAnsi="Calibri"/>
          <w:sz w:val="22"/>
          <w:szCs w:val="22"/>
        </w:rPr>
        <w:t xml:space="preserve">, 975 S.W.2d 782 (Tex. App. 1998), </w:t>
      </w:r>
      <w:r w:rsidRPr="004D7A9E">
        <w:rPr>
          <w:rFonts w:ascii="Calibri" w:hAnsi="Calibri"/>
          <w:sz w:val="22"/>
          <w:szCs w:val="22"/>
          <w:u w:val="single"/>
        </w:rPr>
        <w:t>aff’d</w:t>
      </w:r>
      <w:r w:rsidRPr="004D7A9E">
        <w:rPr>
          <w:rFonts w:ascii="Calibri" w:hAnsi="Calibri"/>
          <w:sz w:val="22"/>
          <w:szCs w:val="22"/>
        </w:rPr>
        <w:t xml:space="preserve">, 52 S.W.3d 128 (Tex. 1996); </w:t>
      </w:r>
      <w:r w:rsidRPr="004D7A9E">
        <w:rPr>
          <w:rFonts w:ascii="Calibri" w:hAnsi="Calibri"/>
          <w:i/>
          <w:sz w:val="22"/>
          <w:szCs w:val="22"/>
        </w:rPr>
        <w:t>AGIP Petroleum Co. v. Gulf Island Fabrication, Inc</w:t>
      </w:r>
      <w:r w:rsidRPr="004D7A9E">
        <w:rPr>
          <w:rFonts w:ascii="Calibri" w:hAnsi="Calibri"/>
          <w:sz w:val="22"/>
          <w:szCs w:val="22"/>
        </w:rPr>
        <w:t xml:space="preserve">., 920 F.Supp. 1318 (S.D. Tex. 1996); </w:t>
      </w:r>
      <w:r w:rsidRPr="004D7A9E">
        <w:rPr>
          <w:rFonts w:ascii="Calibri" w:hAnsi="Calibri"/>
          <w:i/>
          <w:sz w:val="22"/>
          <w:szCs w:val="22"/>
        </w:rPr>
        <w:t>Stafford Metal Wor</w:t>
      </w:r>
      <w:r w:rsidR="003E56CE" w:rsidRPr="004D7A9E">
        <w:rPr>
          <w:rFonts w:ascii="Calibri" w:hAnsi="Calibri"/>
          <w:i/>
          <w:sz w:val="22"/>
          <w:szCs w:val="22"/>
        </w:rPr>
        <w:t>k</w:t>
      </w:r>
      <w:r w:rsidRPr="004D7A9E">
        <w:rPr>
          <w:rFonts w:ascii="Calibri" w:hAnsi="Calibri"/>
          <w:i/>
          <w:sz w:val="22"/>
          <w:szCs w:val="22"/>
        </w:rPr>
        <w:t>s, Inc. v. Cook Paint &amp; Varnish Co</w:t>
      </w:r>
      <w:r w:rsidRPr="004D7A9E">
        <w:rPr>
          <w:rFonts w:ascii="Calibri" w:hAnsi="Calibri"/>
          <w:sz w:val="22"/>
          <w:szCs w:val="22"/>
        </w:rPr>
        <w:t xml:space="preserve">., 418 F.Supp. 56 (N.D. Tex. 1976); </w:t>
      </w:r>
      <w:r w:rsidRPr="004D7A9E">
        <w:rPr>
          <w:rFonts w:ascii="Calibri" w:hAnsi="Calibri"/>
          <w:i/>
          <w:sz w:val="22"/>
          <w:szCs w:val="22"/>
        </w:rPr>
        <w:t>McBroome-Bennet Plumbing v. Villa France</w:t>
      </w:r>
      <w:r w:rsidRPr="004D7A9E">
        <w:rPr>
          <w:rFonts w:ascii="Calibri" w:hAnsi="Calibri"/>
          <w:sz w:val="22"/>
          <w:szCs w:val="22"/>
        </w:rPr>
        <w:t>, 515 S.W.2d 32 (Tex. App. 1974). There is a “special relationship” between an insurance company and its insured, giving rise to duties of good faith and fair dealing.</w:t>
      </w:r>
      <w:r w:rsidR="003E56CE" w:rsidRPr="004D7A9E">
        <w:rPr>
          <w:rFonts w:ascii="Calibri" w:hAnsi="Calibri"/>
          <w:sz w:val="22"/>
          <w:szCs w:val="22"/>
        </w:rPr>
        <w:t xml:space="preserve"> </w:t>
      </w:r>
      <w:r w:rsidRPr="004D7A9E">
        <w:rPr>
          <w:rFonts w:ascii="Calibri" w:hAnsi="Calibri"/>
          <w:i/>
          <w:iCs/>
          <w:sz w:val="22"/>
          <w:szCs w:val="22"/>
        </w:rPr>
        <w:t>Crim Truck &amp; Tractor Co. v. Navistar Intern. Transp. Corp.,</w:t>
      </w:r>
      <w:r w:rsidR="003E56CE" w:rsidRPr="004D7A9E">
        <w:rPr>
          <w:rFonts w:ascii="Calibri" w:hAnsi="Calibri"/>
          <w:sz w:val="22"/>
          <w:szCs w:val="22"/>
        </w:rPr>
        <w:t xml:space="preserve"> </w:t>
      </w:r>
      <w:r w:rsidRPr="004D7A9E">
        <w:rPr>
          <w:rFonts w:ascii="Calibri" w:hAnsi="Calibri"/>
          <w:sz w:val="22"/>
          <w:szCs w:val="22"/>
        </w:rPr>
        <w:t>823 S.W.2d 591 (Tex.1992);</w:t>
      </w:r>
      <w:r w:rsidR="003E56CE" w:rsidRPr="004D7A9E">
        <w:rPr>
          <w:rFonts w:ascii="Calibri" w:hAnsi="Calibri"/>
          <w:i/>
          <w:iCs/>
          <w:sz w:val="22"/>
          <w:szCs w:val="22"/>
        </w:rPr>
        <w:t xml:space="preserve"> </w:t>
      </w:r>
      <w:r w:rsidRPr="004D7A9E">
        <w:rPr>
          <w:rFonts w:ascii="Calibri" w:hAnsi="Calibri"/>
          <w:i/>
          <w:iCs/>
          <w:sz w:val="22"/>
          <w:szCs w:val="22"/>
        </w:rPr>
        <w:t>Aranda v. Insurance Co. of N. Am.,</w:t>
      </w:r>
      <w:r w:rsidR="003E56CE" w:rsidRPr="004D7A9E">
        <w:rPr>
          <w:rFonts w:ascii="Calibri" w:hAnsi="Calibri"/>
          <w:sz w:val="22"/>
          <w:szCs w:val="22"/>
        </w:rPr>
        <w:t xml:space="preserve"> </w:t>
      </w:r>
      <w:r w:rsidRPr="004D7A9E">
        <w:rPr>
          <w:rFonts w:ascii="Calibri" w:hAnsi="Calibri"/>
          <w:sz w:val="22"/>
          <w:szCs w:val="22"/>
        </w:rPr>
        <w:t>748 S.W.2d 210 (Tex.1988);</w:t>
      </w:r>
      <w:r w:rsidR="003E56CE" w:rsidRPr="004D7A9E">
        <w:rPr>
          <w:rFonts w:ascii="Calibri" w:hAnsi="Calibri"/>
          <w:sz w:val="22"/>
          <w:szCs w:val="22"/>
        </w:rPr>
        <w:t xml:space="preserve"> </w:t>
      </w:r>
      <w:r w:rsidRPr="004D7A9E">
        <w:rPr>
          <w:rFonts w:ascii="Calibri" w:hAnsi="Calibri"/>
          <w:i/>
          <w:iCs/>
          <w:sz w:val="22"/>
          <w:szCs w:val="22"/>
        </w:rPr>
        <w:t>Arnold v. National County Mut. Fire Ins. Co.,</w:t>
      </w:r>
      <w:r w:rsidR="003E56CE" w:rsidRPr="004D7A9E">
        <w:rPr>
          <w:rFonts w:ascii="Calibri" w:hAnsi="Calibri"/>
          <w:sz w:val="22"/>
          <w:szCs w:val="22"/>
        </w:rPr>
        <w:t xml:space="preserve"> 725 S.W.2d 165 (Tex.1987). In </w:t>
      </w:r>
      <w:r w:rsidR="00974A13" w:rsidRPr="00974A13">
        <w:rPr>
          <w:rFonts w:ascii="Calibri" w:hAnsi="Calibri"/>
          <w:i/>
          <w:sz w:val="22"/>
          <w:szCs w:val="22"/>
        </w:rPr>
        <w:t xml:space="preserve">State Farm Mut. Auto. Ins. Co. v. Perkins, </w:t>
      </w:r>
      <w:r w:rsidR="00974A13" w:rsidRPr="00974A13">
        <w:rPr>
          <w:rFonts w:ascii="Calibri" w:hAnsi="Calibri"/>
          <w:sz w:val="22"/>
          <w:szCs w:val="22"/>
        </w:rPr>
        <w:t>216 S.W.3d 396 (Tex. App. 2006)</w:t>
      </w:r>
      <w:r w:rsidRPr="00974A13">
        <w:rPr>
          <w:rFonts w:ascii="Calibri" w:hAnsi="Calibri"/>
          <w:sz w:val="22"/>
          <w:szCs w:val="22"/>
        </w:rPr>
        <w:t>,</w:t>
      </w:r>
      <w:r w:rsidRPr="004D7A9E">
        <w:rPr>
          <w:rFonts w:ascii="Calibri" w:hAnsi="Calibri"/>
          <w:sz w:val="22"/>
          <w:szCs w:val="22"/>
        </w:rPr>
        <w:t xml:space="preserve"> State Farm paid Perkins UM benefits because</w:t>
      </w:r>
      <w:r w:rsidR="003E56CE" w:rsidRPr="004D7A9E">
        <w:rPr>
          <w:rFonts w:ascii="Calibri" w:hAnsi="Calibri"/>
          <w:sz w:val="22"/>
          <w:szCs w:val="22"/>
        </w:rPr>
        <w:t xml:space="preserve"> the </w:t>
      </w:r>
      <w:r w:rsidRPr="004D7A9E">
        <w:rPr>
          <w:rFonts w:ascii="Calibri" w:hAnsi="Calibri"/>
          <w:sz w:val="22"/>
          <w:szCs w:val="22"/>
        </w:rPr>
        <w:t xml:space="preserve">defendant was uninsured. Perkins recovered from </w:t>
      </w:r>
      <w:r w:rsidR="003E56CE" w:rsidRPr="004D7A9E">
        <w:rPr>
          <w:rFonts w:ascii="Calibri" w:hAnsi="Calibri"/>
          <w:sz w:val="22"/>
          <w:szCs w:val="22"/>
        </w:rPr>
        <w:t xml:space="preserve">the </w:t>
      </w:r>
      <w:r w:rsidRPr="004D7A9E">
        <w:rPr>
          <w:rFonts w:ascii="Calibri" w:hAnsi="Calibri"/>
          <w:sz w:val="22"/>
          <w:szCs w:val="22"/>
        </w:rPr>
        <w:t xml:space="preserve">owner of </w:t>
      </w:r>
      <w:r w:rsidR="003E56CE" w:rsidRPr="004D7A9E">
        <w:rPr>
          <w:rFonts w:ascii="Calibri" w:hAnsi="Calibri"/>
          <w:sz w:val="22"/>
          <w:szCs w:val="22"/>
        </w:rPr>
        <w:t xml:space="preserve">the </w:t>
      </w:r>
      <w:r w:rsidRPr="004D7A9E">
        <w:rPr>
          <w:rFonts w:ascii="Calibri" w:hAnsi="Calibri"/>
          <w:sz w:val="22"/>
          <w:szCs w:val="22"/>
        </w:rPr>
        <w:t xml:space="preserve">defendant vehicle who was insured by State Farm </w:t>
      </w:r>
      <w:r w:rsidRPr="004D7A9E">
        <w:rPr>
          <w:rFonts w:ascii="Calibri" w:hAnsi="Calibri"/>
          <w:i/>
          <w:sz w:val="22"/>
          <w:szCs w:val="22"/>
        </w:rPr>
        <w:t xml:space="preserve">under </w:t>
      </w:r>
      <w:r w:rsidR="003E56CE" w:rsidRPr="004D7A9E">
        <w:rPr>
          <w:rFonts w:ascii="Calibri" w:hAnsi="Calibri"/>
          <w:i/>
          <w:sz w:val="22"/>
          <w:szCs w:val="22"/>
        </w:rPr>
        <w:t xml:space="preserve">a </w:t>
      </w:r>
      <w:r w:rsidRPr="004D7A9E">
        <w:rPr>
          <w:rFonts w:ascii="Calibri" w:hAnsi="Calibri"/>
          <w:i/>
          <w:sz w:val="22"/>
          <w:szCs w:val="22"/>
        </w:rPr>
        <w:t>separate policy</w:t>
      </w:r>
      <w:r w:rsidRPr="004D7A9E">
        <w:rPr>
          <w:rFonts w:ascii="Calibri" w:hAnsi="Calibri"/>
          <w:sz w:val="22"/>
          <w:szCs w:val="22"/>
        </w:rPr>
        <w:t xml:space="preserve">. The </w:t>
      </w:r>
      <w:r w:rsidR="003E56CE" w:rsidRPr="004D7A9E">
        <w:rPr>
          <w:rFonts w:ascii="Calibri" w:hAnsi="Calibri"/>
          <w:sz w:val="22"/>
          <w:szCs w:val="22"/>
        </w:rPr>
        <w:t>ASR</w:t>
      </w:r>
      <w:r w:rsidRPr="004D7A9E">
        <w:rPr>
          <w:rFonts w:ascii="Calibri" w:hAnsi="Calibri"/>
          <w:sz w:val="22"/>
          <w:szCs w:val="22"/>
        </w:rPr>
        <w:t xml:space="preserve"> did not prohibit reimbursement of </w:t>
      </w:r>
      <w:r w:rsidR="003E56CE" w:rsidRPr="004D7A9E">
        <w:rPr>
          <w:rFonts w:ascii="Calibri" w:hAnsi="Calibri"/>
          <w:sz w:val="22"/>
          <w:szCs w:val="22"/>
        </w:rPr>
        <w:t>UM</w:t>
      </w:r>
      <w:r w:rsidRPr="004D7A9E">
        <w:rPr>
          <w:rFonts w:ascii="Calibri" w:hAnsi="Calibri"/>
          <w:sz w:val="22"/>
          <w:szCs w:val="22"/>
        </w:rPr>
        <w:t xml:space="preserve"> benefits to State Farm because it involved </w:t>
      </w:r>
      <w:r w:rsidRPr="004D7A9E">
        <w:rPr>
          <w:rFonts w:ascii="Calibri" w:hAnsi="Calibri"/>
          <w:i/>
          <w:sz w:val="22"/>
          <w:szCs w:val="22"/>
        </w:rPr>
        <w:t>different insureds and separate and distinct policies</w:t>
      </w:r>
      <w:r w:rsidRPr="004D7A9E">
        <w:rPr>
          <w:rFonts w:ascii="Calibri" w:hAnsi="Calibri"/>
          <w:sz w:val="22"/>
          <w:szCs w:val="22"/>
        </w:rPr>
        <w:t xml:space="preserve">. The policy concerns of the </w:t>
      </w:r>
      <w:r w:rsidR="003E56CE" w:rsidRPr="004D7A9E">
        <w:rPr>
          <w:rFonts w:ascii="Calibri" w:hAnsi="Calibri"/>
          <w:sz w:val="22"/>
          <w:szCs w:val="22"/>
        </w:rPr>
        <w:t>ASR</w:t>
      </w:r>
      <w:r w:rsidRPr="004D7A9E">
        <w:rPr>
          <w:rFonts w:ascii="Calibri" w:hAnsi="Calibri"/>
          <w:sz w:val="22"/>
          <w:szCs w:val="22"/>
        </w:rPr>
        <w:t xml:space="preserve"> were not present in </w:t>
      </w:r>
      <w:r w:rsidRPr="004D7A9E">
        <w:rPr>
          <w:rFonts w:ascii="Calibri" w:hAnsi="Calibri"/>
          <w:i/>
          <w:sz w:val="22"/>
          <w:szCs w:val="22"/>
        </w:rPr>
        <w:t>Perkins</w:t>
      </w:r>
      <w:r w:rsidRPr="004D7A9E">
        <w:rPr>
          <w:rFonts w:ascii="Calibri" w:hAnsi="Calibri"/>
          <w:sz w:val="22"/>
          <w:szCs w:val="22"/>
        </w:rPr>
        <w:t xml:space="preserve">. Exceptions to the </w:t>
      </w:r>
      <w:r w:rsidR="003E56CE" w:rsidRPr="004D7A9E">
        <w:rPr>
          <w:rFonts w:ascii="Calibri" w:hAnsi="Calibri"/>
          <w:sz w:val="22"/>
          <w:szCs w:val="22"/>
        </w:rPr>
        <w:t>ASR include</w:t>
      </w:r>
      <w:r w:rsidRPr="004D7A9E">
        <w:rPr>
          <w:rFonts w:ascii="Calibri" w:hAnsi="Calibri"/>
          <w:sz w:val="22"/>
          <w:szCs w:val="22"/>
        </w:rPr>
        <w:t>:</w:t>
      </w:r>
    </w:p>
    <w:p w14:paraId="532A13C1" w14:textId="77777777" w:rsidR="00024939" w:rsidRPr="004D7A9E" w:rsidRDefault="00024939" w:rsidP="00696E3D">
      <w:pPr>
        <w:numPr>
          <w:ilvl w:val="0"/>
          <w:numId w:val="1"/>
        </w:numPr>
        <w:spacing w:before="120" w:after="120"/>
        <w:jc w:val="both"/>
        <w:rPr>
          <w:rFonts w:ascii="Calibri" w:hAnsi="Calibri"/>
          <w:sz w:val="22"/>
          <w:szCs w:val="22"/>
        </w:rPr>
      </w:pPr>
      <w:r w:rsidRPr="004D7A9E">
        <w:rPr>
          <w:rFonts w:ascii="Calibri" w:hAnsi="Calibri"/>
          <w:sz w:val="22"/>
          <w:szCs w:val="22"/>
        </w:rPr>
        <w:t>Contractual and statutory subrogation</w:t>
      </w:r>
      <w:r w:rsidR="003E56CE" w:rsidRPr="004D7A9E">
        <w:rPr>
          <w:rFonts w:ascii="Calibri" w:hAnsi="Calibri"/>
          <w:sz w:val="22"/>
          <w:szCs w:val="22"/>
        </w:rPr>
        <w:t>;</w:t>
      </w:r>
    </w:p>
    <w:p w14:paraId="1044B7AC" w14:textId="77777777" w:rsidR="00024939" w:rsidRPr="004D7A9E" w:rsidRDefault="00024939" w:rsidP="00696E3D">
      <w:pPr>
        <w:numPr>
          <w:ilvl w:val="0"/>
          <w:numId w:val="1"/>
        </w:numPr>
        <w:spacing w:before="120" w:after="120"/>
        <w:jc w:val="both"/>
        <w:rPr>
          <w:rFonts w:ascii="Calibri" w:hAnsi="Calibri"/>
          <w:sz w:val="22"/>
          <w:szCs w:val="22"/>
        </w:rPr>
      </w:pPr>
      <w:r w:rsidRPr="004D7A9E">
        <w:rPr>
          <w:rFonts w:ascii="Calibri" w:hAnsi="Calibri"/>
          <w:sz w:val="22"/>
          <w:szCs w:val="22"/>
        </w:rPr>
        <w:t>Subrogation against insured under a separate and distinct insurance policy</w:t>
      </w:r>
      <w:r w:rsidR="003E56CE" w:rsidRPr="004D7A9E">
        <w:rPr>
          <w:rFonts w:ascii="Calibri" w:hAnsi="Calibri"/>
          <w:sz w:val="22"/>
          <w:szCs w:val="22"/>
        </w:rPr>
        <w:t>;</w:t>
      </w:r>
      <w:r w:rsidRPr="004D7A9E">
        <w:rPr>
          <w:rFonts w:ascii="Calibri" w:hAnsi="Calibri"/>
          <w:sz w:val="22"/>
          <w:szCs w:val="22"/>
        </w:rPr>
        <w:t xml:space="preserve"> </w:t>
      </w:r>
      <w:r w:rsidR="003E56CE" w:rsidRPr="004D7A9E">
        <w:rPr>
          <w:rFonts w:ascii="Calibri" w:hAnsi="Calibri"/>
          <w:sz w:val="22"/>
          <w:szCs w:val="22"/>
        </w:rPr>
        <w:t>and</w:t>
      </w:r>
    </w:p>
    <w:p w14:paraId="3746EBD2" w14:textId="77777777" w:rsidR="00024939" w:rsidRPr="004D7A9E" w:rsidRDefault="00024939" w:rsidP="00696E3D">
      <w:pPr>
        <w:numPr>
          <w:ilvl w:val="0"/>
          <w:numId w:val="1"/>
        </w:numPr>
        <w:spacing w:before="120" w:after="120"/>
        <w:jc w:val="both"/>
        <w:rPr>
          <w:rFonts w:ascii="Calibri" w:hAnsi="Calibri"/>
          <w:sz w:val="22"/>
          <w:szCs w:val="22"/>
        </w:rPr>
      </w:pPr>
      <w:r w:rsidRPr="004D7A9E">
        <w:rPr>
          <w:rFonts w:ascii="Calibri" w:hAnsi="Calibri"/>
          <w:sz w:val="22"/>
          <w:szCs w:val="22"/>
        </w:rPr>
        <w:t>Equitable concerns (case-by-case fact analysis)</w:t>
      </w:r>
      <w:r w:rsidR="003E56CE" w:rsidRPr="004D7A9E">
        <w:rPr>
          <w:rFonts w:ascii="Calibri" w:hAnsi="Calibri"/>
          <w:sz w:val="22"/>
          <w:szCs w:val="22"/>
        </w:rPr>
        <w:t>;</w:t>
      </w:r>
    </w:p>
    <w:p w14:paraId="36D1A2D1" w14:textId="77777777" w:rsidR="00024939" w:rsidRPr="004D7A9E" w:rsidRDefault="003E56CE" w:rsidP="004D7A9E">
      <w:pPr>
        <w:spacing w:before="120" w:after="120"/>
        <w:jc w:val="both"/>
        <w:rPr>
          <w:rFonts w:ascii="Calibri" w:hAnsi="Calibri"/>
          <w:sz w:val="22"/>
          <w:szCs w:val="22"/>
        </w:rPr>
      </w:pPr>
      <w:r w:rsidRPr="004D7A9E">
        <w:rPr>
          <w:rFonts w:ascii="Calibri" w:hAnsi="Calibri"/>
          <w:sz w:val="22"/>
          <w:szCs w:val="22"/>
        </w:rPr>
        <w:t xml:space="preserve">In </w:t>
      </w:r>
      <w:r w:rsidR="00024939" w:rsidRPr="004D7A9E">
        <w:rPr>
          <w:rFonts w:ascii="Calibri" w:hAnsi="Calibri"/>
          <w:i/>
          <w:sz w:val="22"/>
          <w:szCs w:val="22"/>
        </w:rPr>
        <w:t>Stafford Metal Wor</w:t>
      </w:r>
      <w:r w:rsidRPr="004D7A9E">
        <w:rPr>
          <w:rFonts w:ascii="Calibri" w:hAnsi="Calibri"/>
          <w:i/>
          <w:sz w:val="22"/>
          <w:szCs w:val="22"/>
        </w:rPr>
        <w:t>k</w:t>
      </w:r>
      <w:r w:rsidR="00024939" w:rsidRPr="004D7A9E">
        <w:rPr>
          <w:rFonts w:ascii="Calibri" w:hAnsi="Calibri"/>
          <w:i/>
          <w:sz w:val="22"/>
          <w:szCs w:val="22"/>
        </w:rPr>
        <w:t>s, Inc.</w:t>
      </w:r>
      <w:r w:rsidR="00024939" w:rsidRPr="004D7A9E">
        <w:rPr>
          <w:rFonts w:ascii="Calibri" w:hAnsi="Calibri"/>
          <w:sz w:val="22"/>
          <w:szCs w:val="22"/>
        </w:rPr>
        <w:t xml:space="preserve">, Continental (fire insurer for Stafford and liability insurer for tortfeasor Cook) settled with Stafford for more than </w:t>
      </w:r>
      <w:r w:rsidRPr="004D7A9E">
        <w:rPr>
          <w:rFonts w:ascii="Calibri" w:hAnsi="Calibri"/>
          <w:sz w:val="22"/>
          <w:szCs w:val="22"/>
        </w:rPr>
        <w:t xml:space="preserve">the </w:t>
      </w:r>
      <w:r w:rsidR="00024939" w:rsidRPr="004D7A9E">
        <w:rPr>
          <w:rFonts w:ascii="Calibri" w:hAnsi="Calibri"/>
          <w:sz w:val="22"/>
          <w:szCs w:val="22"/>
        </w:rPr>
        <w:t xml:space="preserve">limits and withdrew instead of defending the subrogation action remaining against Cook. There was no contractual subrogation language in the policy, so the court held that subrogation was equitable and the </w:t>
      </w:r>
      <w:r w:rsidRPr="004D7A9E">
        <w:rPr>
          <w:rFonts w:ascii="Calibri" w:hAnsi="Calibri"/>
          <w:sz w:val="22"/>
          <w:szCs w:val="22"/>
        </w:rPr>
        <w:t xml:space="preserve">ASR prohibited subrogation. The </w:t>
      </w:r>
      <w:r w:rsidR="00024939" w:rsidRPr="004D7A9E">
        <w:rPr>
          <w:rFonts w:ascii="Calibri" w:hAnsi="Calibri"/>
          <w:iCs/>
          <w:sz w:val="22"/>
          <w:szCs w:val="22"/>
        </w:rPr>
        <w:t xml:space="preserve">federal district court </w:t>
      </w:r>
      <w:r w:rsidR="00024939" w:rsidRPr="004D7A9E">
        <w:rPr>
          <w:rFonts w:ascii="Calibri" w:hAnsi="Calibri"/>
          <w:sz w:val="22"/>
          <w:szCs w:val="22"/>
        </w:rPr>
        <w:t xml:space="preserve">gave five basic reasons for the </w:t>
      </w:r>
      <w:r w:rsidRPr="004D7A9E">
        <w:rPr>
          <w:rFonts w:ascii="Calibri" w:hAnsi="Calibri"/>
          <w:sz w:val="22"/>
          <w:szCs w:val="22"/>
        </w:rPr>
        <w:t>ASR</w:t>
      </w:r>
      <w:r w:rsidR="00024939" w:rsidRPr="004D7A9E">
        <w:rPr>
          <w:rFonts w:ascii="Calibri" w:hAnsi="Calibri"/>
          <w:sz w:val="22"/>
          <w:szCs w:val="22"/>
        </w:rPr>
        <w:t xml:space="preserve">, noting there was not contractual subrogation language in the policy and, focusing on the equities, stated that Continental had a “profound opportunity for mischief.” </w:t>
      </w:r>
      <w:r w:rsidR="004D7A9E" w:rsidRPr="004D7A9E">
        <w:rPr>
          <w:rFonts w:ascii="Calibri" w:hAnsi="Calibri"/>
          <w:sz w:val="22"/>
          <w:szCs w:val="22"/>
        </w:rPr>
        <w:t xml:space="preserve">In </w:t>
      </w:r>
      <w:r w:rsidR="00024939" w:rsidRPr="004D7A9E">
        <w:rPr>
          <w:rFonts w:ascii="Calibri" w:hAnsi="Calibri"/>
          <w:i/>
          <w:sz w:val="22"/>
          <w:szCs w:val="22"/>
        </w:rPr>
        <w:t>McBroome-Bennet Plumbing</w:t>
      </w:r>
      <w:r w:rsidR="004D7A9E" w:rsidRPr="004D7A9E">
        <w:rPr>
          <w:rFonts w:ascii="Calibri" w:hAnsi="Calibri"/>
          <w:i/>
          <w:sz w:val="22"/>
          <w:szCs w:val="22"/>
        </w:rPr>
        <w:t>,</w:t>
      </w:r>
      <w:r w:rsidR="00024939" w:rsidRPr="004D7A9E">
        <w:rPr>
          <w:rFonts w:ascii="Calibri" w:hAnsi="Calibri"/>
          <w:sz w:val="22"/>
          <w:szCs w:val="22"/>
        </w:rPr>
        <w:t xml:space="preserve"> Westchester Fire Insurance Company </w:t>
      </w:r>
      <w:r w:rsidR="004D7A9E" w:rsidRPr="004D7A9E">
        <w:rPr>
          <w:rFonts w:ascii="Calibri" w:hAnsi="Calibri"/>
          <w:sz w:val="22"/>
          <w:szCs w:val="22"/>
        </w:rPr>
        <w:t>(</w:t>
      </w:r>
      <w:r w:rsidR="006A4B98">
        <w:rPr>
          <w:rFonts w:ascii="Calibri" w:hAnsi="Calibri"/>
          <w:sz w:val="22"/>
          <w:szCs w:val="22"/>
        </w:rPr>
        <w:t>“</w:t>
      </w:r>
      <w:r w:rsidR="004D7A9E" w:rsidRPr="004D7A9E">
        <w:rPr>
          <w:rFonts w:ascii="Calibri" w:hAnsi="Calibri"/>
          <w:sz w:val="22"/>
          <w:szCs w:val="22"/>
        </w:rPr>
        <w:t>Westchester</w:t>
      </w:r>
      <w:r w:rsidR="006A4B98">
        <w:rPr>
          <w:rFonts w:ascii="Calibri" w:hAnsi="Calibri"/>
          <w:sz w:val="22"/>
          <w:szCs w:val="22"/>
        </w:rPr>
        <w:t>”</w:t>
      </w:r>
      <w:r w:rsidR="004D7A9E" w:rsidRPr="004D7A9E">
        <w:rPr>
          <w:rFonts w:ascii="Calibri" w:hAnsi="Calibri"/>
          <w:sz w:val="22"/>
          <w:szCs w:val="22"/>
        </w:rPr>
        <w:t xml:space="preserve">) </w:t>
      </w:r>
      <w:r w:rsidR="00024939" w:rsidRPr="004D7A9E">
        <w:rPr>
          <w:rFonts w:ascii="Calibri" w:hAnsi="Calibri"/>
          <w:sz w:val="22"/>
          <w:szCs w:val="22"/>
        </w:rPr>
        <w:t>issued a builder</w:t>
      </w:r>
      <w:r w:rsidR="004D7A9E" w:rsidRPr="004D7A9E">
        <w:rPr>
          <w:rFonts w:ascii="Calibri" w:hAnsi="Calibri"/>
          <w:sz w:val="22"/>
          <w:szCs w:val="22"/>
        </w:rPr>
        <w:t>’</w:t>
      </w:r>
      <w:r w:rsidR="00024939" w:rsidRPr="004D7A9E">
        <w:rPr>
          <w:rFonts w:ascii="Calibri" w:hAnsi="Calibri"/>
          <w:sz w:val="22"/>
          <w:szCs w:val="22"/>
        </w:rPr>
        <w:t xml:space="preserve">s risk insurance policy to Villa France, Inc., the owner-general contractor of an apartment house under construction. McBroome-Bennett Plumbing, Inc. </w:t>
      </w:r>
      <w:r w:rsidR="004D7A9E" w:rsidRPr="004D7A9E">
        <w:rPr>
          <w:rFonts w:ascii="Calibri" w:hAnsi="Calibri"/>
          <w:sz w:val="22"/>
          <w:szCs w:val="22"/>
        </w:rPr>
        <w:t>(</w:t>
      </w:r>
      <w:r w:rsidR="006A4B98">
        <w:rPr>
          <w:rFonts w:ascii="Calibri" w:hAnsi="Calibri"/>
          <w:sz w:val="22"/>
          <w:szCs w:val="22"/>
        </w:rPr>
        <w:t>“</w:t>
      </w:r>
      <w:r w:rsidR="004D7A9E" w:rsidRPr="004D7A9E">
        <w:rPr>
          <w:rFonts w:ascii="Calibri" w:hAnsi="Calibri"/>
          <w:sz w:val="22"/>
          <w:szCs w:val="22"/>
        </w:rPr>
        <w:t>McBroome</w:t>
      </w:r>
      <w:r w:rsidR="006A4B98">
        <w:rPr>
          <w:rFonts w:ascii="Calibri" w:hAnsi="Calibri"/>
          <w:sz w:val="22"/>
          <w:szCs w:val="22"/>
        </w:rPr>
        <w:t>”</w:t>
      </w:r>
      <w:r w:rsidR="004D7A9E" w:rsidRPr="004D7A9E">
        <w:rPr>
          <w:rFonts w:ascii="Calibri" w:hAnsi="Calibri"/>
          <w:sz w:val="22"/>
          <w:szCs w:val="22"/>
        </w:rPr>
        <w:t xml:space="preserve">) </w:t>
      </w:r>
      <w:r w:rsidR="00024939" w:rsidRPr="004D7A9E">
        <w:rPr>
          <w:rFonts w:ascii="Calibri" w:hAnsi="Calibri"/>
          <w:sz w:val="22"/>
          <w:szCs w:val="22"/>
        </w:rPr>
        <w:t xml:space="preserve">was a subcontractor whose employees caused a fire resulting in $15,719.37 in damage, which Westchester paid to Villa France. Westchester, as subrogee of Villa France, sued McBroome to recover the amount paid. McBroome argued that it was not liable to Westchester on the subrogation claim because it was an </w:t>
      </w:r>
      <w:r w:rsidR="00024939" w:rsidRPr="004D7A9E">
        <w:rPr>
          <w:rFonts w:ascii="Calibri" w:hAnsi="Calibri"/>
          <w:i/>
          <w:sz w:val="22"/>
          <w:szCs w:val="22"/>
        </w:rPr>
        <w:t>unnamed co</w:t>
      </w:r>
      <w:r w:rsidR="004D7A9E" w:rsidRPr="004D7A9E">
        <w:rPr>
          <w:rFonts w:ascii="Calibri" w:hAnsi="Calibri"/>
          <w:i/>
          <w:sz w:val="22"/>
          <w:szCs w:val="22"/>
        </w:rPr>
        <w:t>-</w:t>
      </w:r>
      <w:r w:rsidR="00024939" w:rsidRPr="004D7A9E">
        <w:rPr>
          <w:rFonts w:ascii="Calibri" w:hAnsi="Calibri"/>
          <w:i/>
          <w:sz w:val="22"/>
          <w:szCs w:val="22"/>
        </w:rPr>
        <w:t>insured</w:t>
      </w:r>
      <w:r w:rsidR="00024939" w:rsidRPr="004D7A9E">
        <w:rPr>
          <w:rFonts w:ascii="Calibri" w:hAnsi="Calibri"/>
          <w:sz w:val="22"/>
          <w:szCs w:val="22"/>
        </w:rPr>
        <w:t xml:space="preserve"> party under the insurance contract because some of its property was destroyed and arguably insured under the Westchester policy. The Court of Appeals held that McBroome was not an insured under the insurance policy issued to Villa France. To deny the insurer its right of subrogation here and under the circumstances presented would be contrary to </w:t>
      </w:r>
      <w:r w:rsidR="008315C9" w:rsidRPr="004D7A9E">
        <w:rPr>
          <w:rFonts w:ascii="Calibri" w:hAnsi="Calibri"/>
          <w:sz w:val="22"/>
          <w:szCs w:val="22"/>
        </w:rPr>
        <w:t>basic</w:t>
      </w:r>
      <w:r w:rsidR="00024939" w:rsidRPr="004D7A9E">
        <w:rPr>
          <w:rFonts w:ascii="Calibri" w:hAnsi="Calibri"/>
          <w:sz w:val="22"/>
          <w:szCs w:val="22"/>
        </w:rPr>
        <w:t xml:space="preserve"> principles of equity and justice.</w:t>
      </w:r>
    </w:p>
    <w:p w14:paraId="2360095D" w14:textId="77777777" w:rsidR="005A059F" w:rsidRPr="008F013B" w:rsidRDefault="00935406" w:rsidP="00DA750B">
      <w:pPr>
        <w:spacing w:before="180" w:after="120"/>
        <w:rPr>
          <w:rFonts w:ascii="Calibri" w:hAnsi="Calibri"/>
          <w:color w:val="0F243E"/>
          <w:sz w:val="24"/>
          <w:szCs w:val="24"/>
        </w:rPr>
      </w:pPr>
      <w:r w:rsidRPr="008F013B">
        <w:rPr>
          <w:rFonts w:ascii="Calibri" w:hAnsi="Calibri"/>
          <w:b/>
          <w:color w:val="0F243E"/>
          <w:sz w:val="24"/>
          <w:szCs w:val="24"/>
          <w:u w:val="single"/>
        </w:rPr>
        <w:t>UTAH</w:t>
      </w:r>
    </w:p>
    <w:p w14:paraId="3653FBAB" w14:textId="77777777" w:rsidR="00935406" w:rsidRPr="004D7A9E" w:rsidRDefault="007903D4" w:rsidP="004D7A9E">
      <w:pPr>
        <w:spacing w:before="120" w:after="120"/>
        <w:jc w:val="both"/>
        <w:rPr>
          <w:rFonts w:ascii="Calibri" w:hAnsi="Calibri"/>
          <w:sz w:val="22"/>
          <w:szCs w:val="22"/>
        </w:rPr>
      </w:pPr>
      <w:r w:rsidRPr="004D7A9E">
        <w:rPr>
          <w:rFonts w:ascii="Calibri" w:hAnsi="Calibri"/>
          <w:sz w:val="22"/>
          <w:szCs w:val="22"/>
        </w:rPr>
        <w:t>An insurer cannot subrogate against its own insured, or a co-insured unde</w:t>
      </w:r>
      <w:r w:rsidR="004D7A9E" w:rsidRPr="004D7A9E">
        <w:rPr>
          <w:rFonts w:ascii="Calibri" w:hAnsi="Calibri"/>
          <w:sz w:val="22"/>
          <w:szCs w:val="22"/>
        </w:rPr>
        <w:t>r the policy.</w:t>
      </w:r>
      <w:r w:rsidRPr="004D7A9E">
        <w:rPr>
          <w:rFonts w:ascii="Calibri" w:hAnsi="Calibri"/>
          <w:sz w:val="22"/>
          <w:szCs w:val="22"/>
        </w:rPr>
        <w:t xml:space="preserve"> </w:t>
      </w:r>
      <w:r w:rsidRPr="004D7A9E">
        <w:rPr>
          <w:rFonts w:ascii="Calibri" w:hAnsi="Calibri"/>
          <w:i/>
          <w:sz w:val="22"/>
          <w:szCs w:val="22"/>
        </w:rPr>
        <w:t>Bd. of Ed</w:t>
      </w:r>
      <w:r w:rsidR="004D7A9E" w:rsidRPr="004D7A9E">
        <w:rPr>
          <w:rFonts w:ascii="Calibri" w:hAnsi="Calibri"/>
          <w:i/>
          <w:sz w:val="22"/>
          <w:szCs w:val="22"/>
        </w:rPr>
        <w:t>uc</w:t>
      </w:r>
      <w:r w:rsidRPr="004D7A9E">
        <w:rPr>
          <w:rFonts w:ascii="Calibri" w:hAnsi="Calibri"/>
          <w:i/>
          <w:sz w:val="22"/>
          <w:szCs w:val="22"/>
        </w:rPr>
        <w:t>. of Jordan School Dist. v. Hales</w:t>
      </w:r>
      <w:r w:rsidR="004D7A9E" w:rsidRPr="004D7A9E">
        <w:rPr>
          <w:rFonts w:ascii="Calibri" w:hAnsi="Calibri"/>
          <w:sz w:val="22"/>
          <w:szCs w:val="22"/>
        </w:rPr>
        <w:t xml:space="preserve">, 566 P.2d 1246 (Utah 1977). </w:t>
      </w:r>
      <w:r w:rsidRPr="004D7A9E">
        <w:rPr>
          <w:rFonts w:ascii="Calibri" w:hAnsi="Calibri"/>
          <w:sz w:val="22"/>
          <w:szCs w:val="22"/>
        </w:rPr>
        <w:t>Where an insurance company attempts to recover, as a subrogee, from a co</w:t>
      </w:r>
      <w:r w:rsidR="004D7A9E" w:rsidRPr="004D7A9E">
        <w:rPr>
          <w:rFonts w:ascii="Calibri" w:hAnsi="Calibri"/>
          <w:sz w:val="22"/>
          <w:szCs w:val="22"/>
        </w:rPr>
        <w:t>-</w:t>
      </w:r>
      <w:r w:rsidRPr="004D7A9E">
        <w:rPr>
          <w:rFonts w:ascii="Calibri" w:hAnsi="Calibri"/>
          <w:sz w:val="22"/>
          <w:szCs w:val="22"/>
        </w:rPr>
        <w:t>insured generally covered under a fire insurance policy, the action must fail in the absence of design or fraud on the part of the co</w:t>
      </w:r>
      <w:r w:rsidR="004D7A9E" w:rsidRPr="004D7A9E">
        <w:rPr>
          <w:rFonts w:ascii="Calibri" w:hAnsi="Calibri"/>
          <w:sz w:val="22"/>
          <w:szCs w:val="22"/>
        </w:rPr>
        <w:t>-</w:t>
      </w:r>
      <w:r w:rsidRPr="004D7A9E">
        <w:rPr>
          <w:rFonts w:ascii="Calibri" w:hAnsi="Calibri"/>
          <w:sz w:val="22"/>
          <w:szCs w:val="22"/>
        </w:rPr>
        <w:t xml:space="preserve">insured. </w:t>
      </w:r>
      <w:r w:rsidRPr="004D7A9E">
        <w:rPr>
          <w:rFonts w:ascii="Calibri" w:hAnsi="Calibri"/>
          <w:i/>
          <w:sz w:val="22"/>
          <w:szCs w:val="22"/>
        </w:rPr>
        <w:t>Id</w:t>
      </w:r>
      <w:r w:rsidRPr="004D7A9E">
        <w:rPr>
          <w:rFonts w:ascii="Calibri" w:hAnsi="Calibri"/>
          <w:sz w:val="22"/>
          <w:szCs w:val="22"/>
        </w:rPr>
        <w:t xml:space="preserve">. </w:t>
      </w:r>
      <w:r w:rsidR="004D7A9E" w:rsidRPr="004D7A9E">
        <w:rPr>
          <w:rFonts w:ascii="Calibri" w:hAnsi="Calibri"/>
          <w:sz w:val="22"/>
          <w:szCs w:val="22"/>
        </w:rPr>
        <w:t xml:space="preserve">In </w:t>
      </w:r>
      <w:r w:rsidRPr="004D7A9E">
        <w:rPr>
          <w:rFonts w:ascii="Calibri" w:hAnsi="Calibri"/>
          <w:i/>
          <w:sz w:val="22"/>
          <w:szCs w:val="22"/>
        </w:rPr>
        <w:t>Hales</w:t>
      </w:r>
      <w:r w:rsidRPr="004D7A9E">
        <w:rPr>
          <w:rFonts w:ascii="Calibri" w:hAnsi="Calibri"/>
          <w:sz w:val="22"/>
          <w:szCs w:val="22"/>
        </w:rPr>
        <w:t xml:space="preserve">, </w:t>
      </w:r>
      <w:r w:rsidR="004D7A9E" w:rsidRPr="004D7A9E">
        <w:rPr>
          <w:rFonts w:ascii="Calibri" w:hAnsi="Calibri"/>
          <w:sz w:val="22"/>
          <w:szCs w:val="22"/>
        </w:rPr>
        <w:t>t</w:t>
      </w:r>
      <w:r w:rsidRPr="004D7A9E">
        <w:rPr>
          <w:rFonts w:ascii="Calibri" w:hAnsi="Calibri"/>
          <w:sz w:val="22"/>
          <w:szCs w:val="22"/>
        </w:rPr>
        <w:t xml:space="preserve">he Board of Education </w:t>
      </w:r>
      <w:r w:rsidR="004D7A9E" w:rsidRPr="004D7A9E">
        <w:rPr>
          <w:rFonts w:ascii="Calibri" w:hAnsi="Calibri"/>
          <w:sz w:val="22"/>
          <w:szCs w:val="22"/>
        </w:rPr>
        <w:t>of the Jordan School District (</w:t>
      </w:r>
      <w:r w:rsidR="006A4B98">
        <w:rPr>
          <w:rFonts w:ascii="Calibri" w:hAnsi="Calibri"/>
          <w:sz w:val="22"/>
          <w:szCs w:val="22"/>
        </w:rPr>
        <w:t>“</w:t>
      </w:r>
      <w:r w:rsidR="004D7A9E" w:rsidRPr="004D7A9E">
        <w:rPr>
          <w:rFonts w:ascii="Calibri" w:hAnsi="Calibri"/>
          <w:sz w:val="22"/>
          <w:szCs w:val="22"/>
        </w:rPr>
        <w:t xml:space="preserve">School </w:t>
      </w:r>
      <w:r w:rsidRPr="004D7A9E">
        <w:rPr>
          <w:rFonts w:ascii="Calibri" w:hAnsi="Calibri"/>
          <w:sz w:val="22"/>
          <w:szCs w:val="22"/>
        </w:rPr>
        <w:t>District</w:t>
      </w:r>
      <w:r w:rsidR="006A4B98">
        <w:rPr>
          <w:rFonts w:ascii="Calibri" w:hAnsi="Calibri"/>
          <w:sz w:val="22"/>
          <w:szCs w:val="22"/>
        </w:rPr>
        <w:t>”</w:t>
      </w:r>
      <w:r w:rsidRPr="004D7A9E">
        <w:rPr>
          <w:rFonts w:ascii="Calibri" w:hAnsi="Calibri"/>
          <w:sz w:val="22"/>
          <w:szCs w:val="22"/>
        </w:rPr>
        <w:t xml:space="preserve">) hired a contractor to construct a new school, and one of the subcontractors hired to work on the school negligently started a fire which caused significant damage to the school. The </w:t>
      </w:r>
      <w:r w:rsidR="004D7A9E" w:rsidRPr="004D7A9E">
        <w:rPr>
          <w:rFonts w:ascii="Calibri" w:hAnsi="Calibri"/>
          <w:sz w:val="22"/>
          <w:szCs w:val="22"/>
        </w:rPr>
        <w:t xml:space="preserve">School </w:t>
      </w:r>
      <w:r w:rsidRPr="004D7A9E">
        <w:rPr>
          <w:rFonts w:ascii="Calibri" w:hAnsi="Calibri"/>
          <w:sz w:val="22"/>
          <w:szCs w:val="22"/>
        </w:rPr>
        <w:t>District’s insurer attempted to subrogate against the subcontractor on the basis that their builder’s risk insurance covered property damage only and</w:t>
      </w:r>
      <w:r w:rsidR="004D7A9E" w:rsidRPr="004D7A9E">
        <w:rPr>
          <w:rFonts w:ascii="Calibri" w:hAnsi="Calibri"/>
          <w:sz w:val="22"/>
          <w:szCs w:val="22"/>
        </w:rPr>
        <w:t>,</w:t>
      </w:r>
      <w:r w:rsidRPr="004D7A9E">
        <w:rPr>
          <w:rFonts w:ascii="Calibri" w:hAnsi="Calibri"/>
          <w:sz w:val="22"/>
          <w:szCs w:val="22"/>
        </w:rPr>
        <w:t xml:space="preserve"> therefore, the subcontractor could be subrogated against for the liability the subcontractor incurred by </w:t>
      </w:r>
      <w:r w:rsidR="004D7A9E" w:rsidRPr="004D7A9E">
        <w:rPr>
          <w:rFonts w:ascii="Calibri" w:hAnsi="Calibri"/>
          <w:sz w:val="22"/>
          <w:szCs w:val="22"/>
        </w:rPr>
        <w:t>negligently starting the fire. The c</w:t>
      </w:r>
      <w:r w:rsidRPr="004D7A9E">
        <w:rPr>
          <w:rFonts w:ascii="Calibri" w:hAnsi="Calibri"/>
          <w:sz w:val="22"/>
          <w:szCs w:val="22"/>
        </w:rPr>
        <w:t>ourt reasoned that an “insurer which accepts a premium based partially on the inclusion of a co</w:t>
      </w:r>
      <w:r w:rsidR="004D7A9E" w:rsidRPr="004D7A9E">
        <w:rPr>
          <w:rFonts w:ascii="Calibri" w:hAnsi="Calibri"/>
          <w:sz w:val="22"/>
          <w:szCs w:val="22"/>
        </w:rPr>
        <w:t>-</w:t>
      </w:r>
      <w:r w:rsidRPr="004D7A9E">
        <w:rPr>
          <w:rFonts w:ascii="Calibri" w:hAnsi="Calibri"/>
          <w:sz w:val="22"/>
          <w:szCs w:val="22"/>
        </w:rPr>
        <w:t>insured under a policy of insurance has assumed the risk of its negligence.” Therefore, the subcontractor was an insured under the policy and subrogation was barred.</w:t>
      </w:r>
      <w:r w:rsidR="005A059F" w:rsidRPr="004D7A9E">
        <w:rPr>
          <w:rFonts w:ascii="Calibri" w:hAnsi="Calibri"/>
          <w:sz w:val="22"/>
          <w:szCs w:val="22"/>
        </w:rPr>
        <w:t xml:space="preserve"> </w:t>
      </w:r>
    </w:p>
    <w:p w14:paraId="4EEAA284" w14:textId="77777777" w:rsidR="006318A0" w:rsidRPr="008F013B" w:rsidRDefault="00935406" w:rsidP="00DA750B">
      <w:pPr>
        <w:keepNext/>
        <w:spacing w:before="180" w:after="120"/>
        <w:jc w:val="both"/>
        <w:rPr>
          <w:rFonts w:ascii="Calibri" w:hAnsi="Calibri"/>
          <w:b/>
          <w:color w:val="0F243E"/>
          <w:sz w:val="24"/>
          <w:szCs w:val="24"/>
        </w:rPr>
      </w:pPr>
      <w:r w:rsidRPr="008F013B">
        <w:rPr>
          <w:rFonts w:ascii="Calibri" w:hAnsi="Calibri"/>
          <w:b/>
          <w:color w:val="0F243E"/>
          <w:sz w:val="24"/>
          <w:szCs w:val="24"/>
          <w:u w:val="single"/>
        </w:rPr>
        <w:t>VERMONT</w:t>
      </w:r>
    </w:p>
    <w:p w14:paraId="1A69822A" w14:textId="77777777" w:rsidR="00A70C81" w:rsidRPr="004D7A9E" w:rsidRDefault="00A70C81" w:rsidP="004D7A9E">
      <w:pPr>
        <w:spacing w:before="120" w:after="120"/>
        <w:jc w:val="both"/>
        <w:rPr>
          <w:rFonts w:ascii="Calibri" w:hAnsi="Calibri"/>
          <w:b/>
          <w:sz w:val="22"/>
          <w:szCs w:val="22"/>
        </w:rPr>
      </w:pPr>
      <w:r w:rsidRPr="004D7A9E">
        <w:rPr>
          <w:rFonts w:ascii="Calibri" w:hAnsi="Calibri"/>
          <w:sz w:val="22"/>
          <w:szCs w:val="22"/>
        </w:rPr>
        <w:t xml:space="preserve">An insurer cannot subrogate against its own insured. </w:t>
      </w:r>
      <w:r w:rsidRPr="004D7A9E">
        <w:rPr>
          <w:rFonts w:ascii="Calibri" w:hAnsi="Calibri"/>
          <w:i/>
          <w:sz w:val="22"/>
          <w:szCs w:val="22"/>
        </w:rPr>
        <w:t xml:space="preserve">Travelers </w:t>
      </w:r>
      <w:proofErr w:type="spellStart"/>
      <w:r w:rsidRPr="004D7A9E">
        <w:rPr>
          <w:rFonts w:ascii="Calibri" w:hAnsi="Calibri"/>
          <w:i/>
          <w:sz w:val="22"/>
          <w:szCs w:val="22"/>
        </w:rPr>
        <w:t>Indem</w:t>
      </w:r>
      <w:proofErr w:type="spellEnd"/>
      <w:r w:rsidRPr="004D7A9E">
        <w:rPr>
          <w:rFonts w:ascii="Calibri" w:hAnsi="Calibri"/>
          <w:i/>
          <w:sz w:val="22"/>
          <w:szCs w:val="22"/>
        </w:rPr>
        <w:t>. Co. of America v. Deguise</w:t>
      </w:r>
      <w:r w:rsidRPr="004D7A9E">
        <w:rPr>
          <w:rFonts w:ascii="Calibri" w:hAnsi="Calibri"/>
          <w:sz w:val="22"/>
          <w:szCs w:val="22"/>
        </w:rPr>
        <w:t xml:space="preserve">, 914 A.2d 499 (Vt. 2006). This rule extends to both express and implied co-insureds. </w:t>
      </w:r>
      <w:r w:rsidRPr="004D7A9E">
        <w:rPr>
          <w:rFonts w:ascii="Calibri" w:hAnsi="Calibri"/>
          <w:i/>
          <w:sz w:val="22"/>
          <w:szCs w:val="22"/>
        </w:rPr>
        <w:t>Id</w:t>
      </w:r>
      <w:r w:rsidR="00406E94">
        <w:rPr>
          <w:rFonts w:ascii="Calibri" w:hAnsi="Calibri"/>
          <w:sz w:val="22"/>
          <w:szCs w:val="22"/>
        </w:rPr>
        <w:t xml:space="preserve">. </w:t>
      </w:r>
      <w:r w:rsidRPr="004D7A9E">
        <w:rPr>
          <w:rFonts w:ascii="Calibri" w:hAnsi="Calibri"/>
          <w:sz w:val="22"/>
          <w:szCs w:val="22"/>
        </w:rPr>
        <w:t xml:space="preserve">Whether a party is a co-insured under a policy must be determined by looking at the agreement between the subrogor and the target. </w:t>
      </w:r>
      <w:r w:rsidRPr="004D7A9E">
        <w:rPr>
          <w:rFonts w:ascii="Calibri" w:hAnsi="Calibri"/>
          <w:i/>
          <w:sz w:val="22"/>
          <w:szCs w:val="22"/>
        </w:rPr>
        <w:t xml:space="preserve">Travelers </w:t>
      </w:r>
      <w:proofErr w:type="spellStart"/>
      <w:r w:rsidRPr="004D7A9E">
        <w:rPr>
          <w:rFonts w:ascii="Calibri" w:hAnsi="Calibri"/>
          <w:i/>
          <w:sz w:val="22"/>
          <w:szCs w:val="22"/>
        </w:rPr>
        <w:t>Indem</w:t>
      </w:r>
      <w:proofErr w:type="spellEnd"/>
      <w:r w:rsidRPr="004D7A9E">
        <w:rPr>
          <w:rFonts w:ascii="Calibri" w:hAnsi="Calibri"/>
          <w:i/>
          <w:sz w:val="22"/>
          <w:szCs w:val="22"/>
        </w:rPr>
        <w:t>. Co. of America v. Deguise</w:t>
      </w:r>
      <w:r w:rsidRPr="004D7A9E">
        <w:rPr>
          <w:rFonts w:ascii="Calibri" w:hAnsi="Calibri"/>
          <w:sz w:val="22"/>
          <w:szCs w:val="22"/>
        </w:rPr>
        <w:t xml:space="preserve">, 914 A.2d 499 (Vt. 2006); </w:t>
      </w:r>
      <w:r w:rsidRPr="004D7A9E">
        <w:rPr>
          <w:rFonts w:ascii="Calibri" w:hAnsi="Calibri"/>
          <w:i/>
          <w:sz w:val="22"/>
          <w:szCs w:val="22"/>
        </w:rPr>
        <w:t>Union Mut. Fire Ins. Co. v. Joerg</w:t>
      </w:r>
      <w:r w:rsidRPr="004D7A9E">
        <w:rPr>
          <w:rFonts w:ascii="Calibri" w:hAnsi="Calibri"/>
          <w:sz w:val="22"/>
          <w:szCs w:val="22"/>
        </w:rPr>
        <w:t xml:space="preserve">, 824 A.2d 586 (Vt. 2003); </w:t>
      </w:r>
      <w:r w:rsidRPr="004D7A9E">
        <w:rPr>
          <w:rFonts w:ascii="Calibri" w:hAnsi="Calibri"/>
          <w:i/>
          <w:sz w:val="22"/>
          <w:szCs w:val="22"/>
        </w:rPr>
        <w:t>Town of Stowe v. Stowe Theatre Guild</w:t>
      </w:r>
      <w:r w:rsidRPr="004D7A9E">
        <w:rPr>
          <w:rFonts w:ascii="Calibri" w:hAnsi="Calibri"/>
          <w:sz w:val="22"/>
          <w:szCs w:val="22"/>
        </w:rPr>
        <w:t xml:space="preserve">, 180 Vt. 165 (Vt. 2006). </w:t>
      </w:r>
      <w:r w:rsidR="004D7A9E" w:rsidRPr="004D7A9E">
        <w:rPr>
          <w:rFonts w:ascii="Calibri" w:hAnsi="Calibri"/>
          <w:sz w:val="22"/>
          <w:szCs w:val="22"/>
        </w:rPr>
        <w:t xml:space="preserve">In </w:t>
      </w:r>
      <w:r w:rsidRPr="004D7A9E">
        <w:rPr>
          <w:rFonts w:ascii="Calibri" w:hAnsi="Calibri"/>
          <w:i/>
          <w:sz w:val="22"/>
          <w:szCs w:val="22"/>
        </w:rPr>
        <w:t>Town of Stowe</w:t>
      </w:r>
      <w:r w:rsidR="004D7A9E" w:rsidRPr="004D7A9E">
        <w:rPr>
          <w:rFonts w:ascii="Calibri" w:hAnsi="Calibri"/>
          <w:i/>
          <w:sz w:val="22"/>
          <w:szCs w:val="22"/>
        </w:rPr>
        <w:t>,</w:t>
      </w:r>
      <w:r w:rsidRPr="004D7A9E">
        <w:rPr>
          <w:rFonts w:ascii="Calibri" w:hAnsi="Calibri"/>
          <w:sz w:val="22"/>
          <w:szCs w:val="22"/>
        </w:rPr>
        <w:t xml:space="preserve"> </w:t>
      </w:r>
      <w:r w:rsidR="004D7A9E" w:rsidRPr="004D7A9E">
        <w:rPr>
          <w:rFonts w:ascii="Calibri" w:hAnsi="Calibri"/>
          <w:sz w:val="22"/>
          <w:szCs w:val="22"/>
        </w:rPr>
        <w:t xml:space="preserve">a </w:t>
      </w:r>
      <w:r w:rsidRPr="004D7A9E">
        <w:rPr>
          <w:rFonts w:ascii="Calibri" w:hAnsi="Calibri"/>
          <w:sz w:val="22"/>
          <w:szCs w:val="22"/>
        </w:rPr>
        <w:t>town building suffered water damage after the negligent use of “flash powde</w:t>
      </w:r>
      <w:r w:rsidR="004D7A9E" w:rsidRPr="004D7A9E">
        <w:rPr>
          <w:rFonts w:ascii="Calibri" w:hAnsi="Calibri"/>
          <w:sz w:val="22"/>
          <w:szCs w:val="22"/>
        </w:rPr>
        <w:t>r” by the Stowe Theater Guild (</w:t>
      </w:r>
      <w:r w:rsidR="006A4B98">
        <w:rPr>
          <w:rFonts w:ascii="Calibri" w:hAnsi="Calibri"/>
          <w:sz w:val="22"/>
          <w:szCs w:val="22"/>
        </w:rPr>
        <w:t>“</w:t>
      </w:r>
      <w:r w:rsidRPr="004D7A9E">
        <w:rPr>
          <w:rFonts w:ascii="Calibri" w:hAnsi="Calibri"/>
          <w:sz w:val="22"/>
          <w:szCs w:val="22"/>
        </w:rPr>
        <w:t>Guild</w:t>
      </w:r>
      <w:r w:rsidR="006A4B98">
        <w:rPr>
          <w:rFonts w:ascii="Calibri" w:hAnsi="Calibri"/>
          <w:sz w:val="22"/>
          <w:szCs w:val="22"/>
        </w:rPr>
        <w:t>”</w:t>
      </w:r>
      <w:r w:rsidRPr="004D7A9E">
        <w:rPr>
          <w:rFonts w:ascii="Calibri" w:hAnsi="Calibri"/>
          <w:sz w:val="22"/>
          <w:szCs w:val="22"/>
        </w:rPr>
        <w:t>) resulted in the building’s fire suppressant system being activated. The Royal Insurance Co. (“Royal”) was the town’s fire insurer, and after paying the town for the damages to the building, sought to subrogate against the theater company. The Guild had an oral lease with the town where the Guild paid a nominal $1 a month rent and performed general maintenance and upgrades to their theater space, in exchange for the opportunity to use the space for performances. The Guild argued that they were a co-insured under the lease and</w:t>
      </w:r>
      <w:r w:rsidR="004D7A9E" w:rsidRPr="004D7A9E">
        <w:rPr>
          <w:rFonts w:ascii="Calibri" w:hAnsi="Calibri"/>
          <w:sz w:val="22"/>
          <w:szCs w:val="22"/>
        </w:rPr>
        <w:t>,</w:t>
      </w:r>
      <w:r w:rsidRPr="004D7A9E">
        <w:rPr>
          <w:rFonts w:ascii="Calibri" w:hAnsi="Calibri"/>
          <w:sz w:val="22"/>
          <w:szCs w:val="22"/>
        </w:rPr>
        <w:t xml:space="preserve"> therefore, Royal should not be allowed to subrogate against the Guild. The </w:t>
      </w:r>
      <w:r w:rsidR="004D7A9E" w:rsidRPr="004D7A9E">
        <w:rPr>
          <w:rFonts w:ascii="Calibri" w:hAnsi="Calibri"/>
          <w:sz w:val="22"/>
          <w:szCs w:val="22"/>
        </w:rPr>
        <w:t>c</w:t>
      </w:r>
      <w:r w:rsidRPr="004D7A9E">
        <w:rPr>
          <w:rFonts w:ascii="Calibri" w:hAnsi="Calibri"/>
          <w:sz w:val="22"/>
          <w:szCs w:val="22"/>
        </w:rPr>
        <w:t>ourt reasoned that the oral lease contained neither an implied nor express intent to have the Guild be a co-insured party under the town’s policy, therefore, subrogation was permissible.</w:t>
      </w:r>
    </w:p>
    <w:p w14:paraId="5CB3416C" w14:textId="77777777" w:rsidR="004D7A9E" w:rsidRPr="008F013B" w:rsidRDefault="00935406" w:rsidP="00C337F1">
      <w:pPr>
        <w:keepNext/>
        <w:spacing w:before="240" w:after="120"/>
        <w:rPr>
          <w:rFonts w:ascii="Calibri" w:hAnsi="Calibri"/>
          <w:b/>
          <w:color w:val="0F243E"/>
          <w:sz w:val="24"/>
          <w:szCs w:val="24"/>
        </w:rPr>
      </w:pPr>
      <w:r w:rsidRPr="008F013B">
        <w:rPr>
          <w:rFonts w:ascii="Calibri" w:hAnsi="Calibri"/>
          <w:b/>
          <w:color w:val="0F243E"/>
          <w:sz w:val="24"/>
          <w:szCs w:val="24"/>
          <w:u w:val="single"/>
        </w:rPr>
        <w:t>VIRGINIA</w:t>
      </w:r>
    </w:p>
    <w:p w14:paraId="63E1C6F7" w14:textId="77777777" w:rsidR="00A70C81" w:rsidRPr="004D7A9E" w:rsidRDefault="00A70C81" w:rsidP="004D7A9E">
      <w:pPr>
        <w:spacing w:before="120" w:after="120"/>
        <w:jc w:val="both"/>
        <w:rPr>
          <w:rFonts w:ascii="Calibri" w:hAnsi="Calibri"/>
          <w:sz w:val="22"/>
          <w:szCs w:val="22"/>
        </w:rPr>
      </w:pPr>
      <w:r w:rsidRPr="004D7A9E">
        <w:rPr>
          <w:rFonts w:ascii="Calibri" w:hAnsi="Calibri"/>
          <w:sz w:val="22"/>
          <w:szCs w:val="22"/>
        </w:rPr>
        <w:t>Where a plaintiff has contracted to protect the defendant from a loss by procuring insurance, the plaintiff (or his subrogee) may not recover for that loss from the defendant even if the loss is caused by the defendant</w:t>
      </w:r>
      <w:r w:rsidR="004D7A9E" w:rsidRPr="004D7A9E">
        <w:rPr>
          <w:rFonts w:ascii="Calibri" w:hAnsi="Calibri"/>
          <w:sz w:val="22"/>
          <w:szCs w:val="22"/>
        </w:rPr>
        <w:t>’</w:t>
      </w:r>
      <w:r w:rsidRPr="004D7A9E">
        <w:rPr>
          <w:rFonts w:ascii="Calibri" w:hAnsi="Calibri"/>
          <w:sz w:val="22"/>
          <w:szCs w:val="22"/>
        </w:rPr>
        <w:t xml:space="preserve">s negligence. </w:t>
      </w:r>
      <w:r w:rsidRPr="004D7A9E">
        <w:rPr>
          <w:rFonts w:ascii="Calibri" w:hAnsi="Calibri"/>
          <w:i/>
          <w:sz w:val="22"/>
          <w:szCs w:val="22"/>
        </w:rPr>
        <w:t>Walker v. Vanderpool</w:t>
      </w:r>
      <w:r w:rsidRPr="004D7A9E">
        <w:rPr>
          <w:rFonts w:ascii="Calibri" w:hAnsi="Calibri"/>
          <w:sz w:val="22"/>
          <w:szCs w:val="22"/>
        </w:rPr>
        <w:t xml:space="preserve">, </w:t>
      </w:r>
      <w:r w:rsidR="001C093F" w:rsidRPr="004D7A9E">
        <w:rPr>
          <w:rFonts w:ascii="Calibri" w:hAnsi="Calibri"/>
          <w:sz w:val="22"/>
          <w:szCs w:val="22"/>
        </w:rPr>
        <w:t>302 S.E.2d 669 (</w:t>
      </w:r>
      <w:r w:rsidR="005A1BA8" w:rsidRPr="004D7A9E">
        <w:rPr>
          <w:rFonts w:ascii="Calibri" w:hAnsi="Calibri"/>
          <w:sz w:val="22"/>
          <w:szCs w:val="22"/>
        </w:rPr>
        <w:t xml:space="preserve">Va. </w:t>
      </w:r>
      <w:r w:rsidRPr="004D7A9E">
        <w:rPr>
          <w:rFonts w:ascii="Calibri" w:hAnsi="Calibri"/>
          <w:sz w:val="22"/>
          <w:szCs w:val="22"/>
        </w:rPr>
        <w:t xml:space="preserve">1983). </w:t>
      </w:r>
      <w:r w:rsidR="004D7A9E" w:rsidRPr="004D7A9E">
        <w:rPr>
          <w:rFonts w:ascii="Calibri" w:hAnsi="Calibri"/>
          <w:sz w:val="22"/>
          <w:szCs w:val="22"/>
        </w:rPr>
        <w:t>ASR</w:t>
      </w:r>
      <w:r w:rsidRPr="004D7A9E">
        <w:rPr>
          <w:rFonts w:ascii="Calibri" w:hAnsi="Calibri"/>
          <w:sz w:val="22"/>
          <w:szCs w:val="22"/>
        </w:rPr>
        <w:t xml:space="preserve"> applies to insurers, not self-insurers. </w:t>
      </w:r>
      <w:r w:rsidRPr="004D7A9E">
        <w:rPr>
          <w:rFonts w:ascii="Calibri" w:hAnsi="Calibri"/>
          <w:i/>
          <w:sz w:val="22"/>
          <w:szCs w:val="22"/>
        </w:rPr>
        <w:t>Farmers Ins. Exch. v. Enter. Leasing Co.</w:t>
      </w:r>
      <w:r w:rsidRPr="004D7A9E">
        <w:rPr>
          <w:rFonts w:ascii="Calibri" w:hAnsi="Calibri"/>
          <w:sz w:val="22"/>
          <w:szCs w:val="22"/>
        </w:rPr>
        <w:t>, 708 S.E.2d 852 (</w:t>
      </w:r>
      <w:r w:rsidR="005A1BA8" w:rsidRPr="004D7A9E">
        <w:rPr>
          <w:rFonts w:ascii="Calibri" w:hAnsi="Calibri"/>
          <w:sz w:val="22"/>
          <w:szCs w:val="22"/>
        </w:rPr>
        <w:t xml:space="preserve">Va. </w:t>
      </w:r>
      <w:r w:rsidRPr="004D7A9E">
        <w:rPr>
          <w:rFonts w:ascii="Calibri" w:hAnsi="Calibri"/>
          <w:sz w:val="22"/>
          <w:szCs w:val="22"/>
        </w:rPr>
        <w:t xml:space="preserve">2011). However, a </w:t>
      </w:r>
      <w:r w:rsidR="008315C9" w:rsidRPr="004D7A9E">
        <w:rPr>
          <w:rFonts w:ascii="Calibri" w:hAnsi="Calibri"/>
          <w:sz w:val="22"/>
          <w:szCs w:val="22"/>
        </w:rPr>
        <w:t>self-insurer</w:t>
      </w:r>
      <w:r w:rsidRPr="004D7A9E">
        <w:rPr>
          <w:rFonts w:ascii="Calibri" w:hAnsi="Calibri"/>
          <w:sz w:val="22"/>
          <w:szCs w:val="22"/>
        </w:rPr>
        <w:t xml:space="preserve"> can be ruled to be an insurer if certain criteria are met. </w:t>
      </w:r>
      <w:r w:rsidRPr="006A4B98">
        <w:rPr>
          <w:rFonts w:ascii="Calibri" w:hAnsi="Calibri"/>
          <w:sz w:val="22"/>
          <w:szCs w:val="22"/>
          <w:u w:val="single"/>
        </w:rPr>
        <w:t>See</w:t>
      </w:r>
      <w:r w:rsidRPr="004D7A9E">
        <w:rPr>
          <w:rFonts w:ascii="Calibri" w:hAnsi="Calibri"/>
          <w:i/>
          <w:sz w:val="22"/>
          <w:szCs w:val="22"/>
        </w:rPr>
        <w:t xml:space="preserve"> Group Hospitalization Medical Service, Inc. v. Smith</w:t>
      </w:r>
      <w:r w:rsidRPr="004D7A9E">
        <w:rPr>
          <w:rFonts w:ascii="Calibri" w:hAnsi="Calibri"/>
          <w:sz w:val="22"/>
          <w:szCs w:val="22"/>
        </w:rPr>
        <w:t>, 372 S.E.2d 159 (</w:t>
      </w:r>
      <w:r w:rsidR="005A1BA8" w:rsidRPr="004D7A9E">
        <w:rPr>
          <w:rFonts w:ascii="Calibri" w:hAnsi="Calibri"/>
          <w:sz w:val="22"/>
          <w:szCs w:val="22"/>
        </w:rPr>
        <w:t xml:space="preserve">Va. </w:t>
      </w:r>
      <w:r w:rsidRPr="004D7A9E">
        <w:rPr>
          <w:rFonts w:ascii="Calibri" w:hAnsi="Calibri"/>
          <w:sz w:val="22"/>
          <w:szCs w:val="22"/>
        </w:rPr>
        <w:t xml:space="preserve">1988). </w:t>
      </w:r>
    </w:p>
    <w:p w14:paraId="679ADFCC" w14:textId="77777777" w:rsidR="008B549A" w:rsidRPr="008F013B" w:rsidRDefault="00935406" w:rsidP="004D7A9E">
      <w:pPr>
        <w:keepNext/>
        <w:spacing w:before="240" w:after="120"/>
        <w:rPr>
          <w:rFonts w:ascii="Times New Roman" w:hAnsi="Times New Roman"/>
          <w:color w:val="0F243E"/>
          <w:sz w:val="24"/>
          <w:szCs w:val="24"/>
        </w:rPr>
      </w:pPr>
      <w:r w:rsidRPr="008F013B">
        <w:rPr>
          <w:rFonts w:ascii="Calibri" w:hAnsi="Calibri"/>
          <w:b/>
          <w:color w:val="0F243E"/>
          <w:sz w:val="24"/>
          <w:szCs w:val="24"/>
          <w:u w:val="single"/>
        </w:rPr>
        <w:t>WASHINGTON</w:t>
      </w:r>
    </w:p>
    <w:p w14:paraId="3B888ECB" w14:textId="77777777" w:rsidR="00CB0FDE" w:rsidRPr="00802527" w:rsidRDefault="00FC4A95" w:rsidP="00696E3D">
      <w:pPr>
        <w:spacing w:before="120" w:after="120"/>
        <w:jc w:val="both"/>
        <w:rPr>
          <w:rFonts w:ascii="Calibri" w:hAnsi="Calibri"/>
          <w:sz w:val="22"/>
          <w:szCs w:val="22"/>
        </w:rPr>
      </w:pPr>
      <w:r w:rsidRPr="00802527">
        <w:rPr>
          <w:rFonts w:ascii="Calibri" w:hAnsi="Calibri"/>
          <w:sz w:val="22"/>
          <w:szCs w:val="22"/>
        </w:rPr>
        <w:t xml:space="preserve">An insurer has no right of subrogation against their own insured since, by definition, subrogation exists only with respect to rights of the insurer against third persons to whom the insurer owes no duty. </w:t>
      </w:r>
      <w:r w:rsidRPr="00802527">
        <w:rPr>
          <w:rFonts w:ascii="Calibri" w:hAnsi="Calibri"/>
          <w:i/>
          <w:sz w:val="22"/>
          <w:szCs w:val="22"/>
        </w:rPr>
        <w:t xml:space="preserve">Sherry v. Financial </w:t>
      </w:r>
      <w:proofErr w:type="spellStart"/>
      <w:r w:rsidRPr="00802527">
        <w:rPr>
          <w:rFonts w:ascii="Calibri" w:hAnsi="Calibri"/>
          <w:i/>
          <w:sz w:val="22"/>
          <w:szCs w:val="22"/>
        </w:rPr>
        <w:t>Indem</w:t>
      </w:r>
      <w:proofErr w:type="spellEnd"/>
      <w:r w:rsidRPr="00802527">
        <w:rPr>
          <w:rFonts w:ascii="Calibri" w:hAnsi="Calibri"/>
          <w:i/>
          <w:sz w:val="22"/>
          <w:szCs w:val="22"/>
        </w:rPr>
        <w:t>. Co.</w:t>
      </w:r>
      <w:r w:rsidRPr="00802527">
        <w:rPr>
          <w:rFonts w:ascii="Calibri" w:hAnsi="Calibri"/>
          <w:sz w:val="22"/>
          <w:szCs w:val="22"/>
        </w:rPr>
        <w:t>, 160 P.3d 31 (Wash. 2007). It is well established in Washington that “the insurance company</w:t>
      </w:r>
      <w:r w:rsidR="00D707C1" w:rsidRPr="00802527">
        <w:rPr>
          <w:rFonts w:ascii="Calibri" w:hAnsi="Calibri"/>
          <w:sz w:val="22"/>
          <w:szCs w:val="22"/>
        </w:rPr>
        <w:t>,</w:t>
      </w:r>
      <w:r w:rsidR="004D7A9E" w:rsidRPr="00802527">
        <w:rPr>
          <w:rFonts w:ascii="Calibri" w:hAnsi="Calibri"/>
          <w:sz w:val="22"/>
          <w:szCs w:val="22"/>
        </w:rPr>
        <w:t xml:space="preserve"> </w:t>
      </w:r>
      <w:r w:rsidRPr="00802527">
        <w:rPr>
          <w:rFonts w:ascii="Calibri" w:hAnsi="Calibri"/>
          <w:sz w:val="22"/>
          <w:szCs w:val="22"/>
        </w:rPr>
        <w:t>having paid a loss to one insured</w:t>
      </w:r>
      <w:r w:rsidR="00D707C1" w:rsidRPr="00802527">
        <w:rPr>
          <w:rFonts w:ascii="Calibri" w:hAnsi="Calibri"/>
          <w:sz w:val="22"/>
          <w:szCs w:val="22"/>
        </w:rPr>
        <w:t xml:space="preserve">, </w:t>
      </w:r>
      <w:r w:rsidRPr="00802527">
        <w:rPr>
          <w:rFonts w:ascii="Calibri" w:hAnsi="Calibri"/>
          <w:sz w:val="22"/>
          <w:szCs w:val="22"/>
        </w:rPr>
        <w:t xml:space="preserve">cannot, as subrogee, recover from another of the parties for whose benefit the insurance was written even though his negligence may have occasioned the loss, there being no design or fraud on his part.” </w:t>
      </w:r>
      <w:r w:rsidRPr="00802527">
        <w:rPr>
          <w:rFonts w:ascii="Calibri" w:hAnsi="Calibri"/>
          <w:i/>
          <w:sz w:val="22"/>
          <w:szCs w:val="22"/>
        </w:rPr>
        <w:t>General Ins. Co. of America v. Stoddard Wendle Ford Motors</w:t>
      </w:r>
      <w:r w:rsidR="00D707C1" w:rsidRPr="00802527">
        <w:rPr>
          <w:rFonts w:ascii="Calibri" w:hAnsi="Calibri"/>
          <w:sz w:val="22"/>
          <w:szCs w:val="22"/>
        </w:rPr>
        <w:t xml:space="preserve">, 410 P.2d 904 (Wash. 1966). </w:t>
      </w:r>
      <w:r w:rsidRPr="00802527">
        <w:rPr>
          <w:rFonts w:ascii="Calibri" w:hAnsi="Calibri"/>
          <w:sz w:val="22"/>
          <w:szCs w:val="22"/>
        </w:rPr>
        <w:t>Co-insured status for any loss under a builder</w:t>
      </w:r>
      <w:r w:rsidR="00D707C1" w:rsidRPr="00802527">
        <w:rPr>
          <w:rFonts w:ascii="Calibri" w:hAnsi="Calibri"/>
          <w:sz w:val="22"/>
          <w:szCs w:val="22"/>
        </w:rPr>
        <w:t>’</w:t>
      </w:r>
      <w:r w:rsidRPr="00802527">
        <w:rPr>
          <w:rFonts w:ascii="Calibri" w:hAnsi="Calibri"/>
          <w:sz w:val="22"/>
          <w:szCs w:val="22"/>
        </w:rPr>
        <w:t>s risk policy does not automatically insulate the co-insured from subrogation by the insurer for damage to all property covered therein; instead, the first question is whether the owner and the contractor agreed that the owner would purchase insurance to cover damage to the project caused by the contractor</w:t>
      </w:r>
      <w:r w:rsidR="00D707C1" w:rsidRPr="00802527">
        <w:rPr>
          <w:rFonts w:ascii="Calibri" w:hAnsi="Calibri"/>
          <w:sz w:val="22"/>
          <w:szCs w:val="22"/>
        </w:rPr>
        <w:t>’</w:t>
      </w:r>
      <w:r w:rsidRPr="00802527">
        <w:rPr>
          <w:rFonts w:ascii="Calibri" w:hAnsi="Calibri"/>
          <w:sz w:val="22"/>
          <w:szCs w:val="22"/>
        </w:rPr>
        <w:t xml:space="preserve">s negligence. </w:t>
      </w:r>
      <w:r w:rsidRPr="00802527">
        <w:rPr>
          <w:rFonts w:ascii="Calibri" w:hAnsi="Calibri"/>
          <w:sz w:val="22"/>
          <w:szCs w:val="22"/>
          <w:u w:val="single"/>
        </w:rPr>
        <w:t>See</w:t>
      </w:r>
      <w:r w:rsidRPr="00802527">
        <w:rPr>
          <w:rFonts w:ascii="Calibri" w:hAnsi="Calibri"/>
          <w:sz w:val="22"/>
          <w:szCs w:val="22"/>
        </w:rPr>
        <w:t xml:space="preserve"> </w:t>
      </w:r>
      <w:r w:rsidRPr="00802527">
        <w:rPr>
          <w:rFonts w:ascii="Calibri" w:hAnsi="Calibri"/>
          <w:i/>
          <w:sz w:val="22"/>
          <w:szCs w:val="22"/>
        </w:rPr>
        <w:t>Western Washington Corp. of Seventh D</w:t>
      </w:r>
      <w:r w:rsidR="00D707C1" w:rsidRPr="00802527">
        <w:rPr>
          <w:rFonts w:ascii="Calibri" w:hAnsi="Calibri"/>
          <w:i/>
          <w:sz w:val="22"/>
          <w:szCs w:val="22"/>
        </w:rPr>
        <w:t>ay Adventists v. Ferrellgas, Inc</w:t>
      </w:r>
      <w:r w:rsidRPr="00802527">
        <w:rPr>
          <w:rFonts w:ascii="Calibri" w:hAnsi="Calibri"/>
          <w:i/>
          <w:sz w:val="22"/>
          <w:szCs w:val="22"/>
        </w:rPr>
        <w:t>.</w:t>
      </w:r>
      <w:r w:rsidR="00D707C1" w:rsidRPr="00802527">
        <w:rPr>
          <w:rFonts w:ascii="Calibri" w:hAnsi="Calibri"/>
          <w:i/>
          <w:sz w:val="22"/>
          <w:szCs w:val="22"/>
        </w:rPr>
        <w:t>,</w:t>
      </w:r>
      <w:r w:rsidRPr="00802527">
        <w:rPr>
          <w:rFonts w:ascii="Calibri" w:hAnsi="Calibri"/>
          <w:sz w:val="22"/>
          <w:szCs w:val="22"/>
        </w:rPr>
        <w:t xml:space="preserve"> 7 P.3d 861 (Wash. </w:t>
      </w:r>
      <w:r w:rsidR="005A1BA8" w:rsidRPr="00802527">
        <w:rPr>
          <w:rFonts w:ascii="Calibri" w:hAnsi="Calibri"/>
          <w:sz w:val="22"/>
          <w:szCs w:val="22"/>
        </w:rPr>
        <w:t xml:space="preserve">Ct. App. </w:t>
      </w:r>
      <w:r w:rsidRPr="00802527">
        <w:rPr>
          <w:rFonts w:ascii="Calibri" w:hAnsi="Calibri"/>
          <w:sz w:val="22"/>
          <w:szCs w:val="22"/>
        </w:rPr>
        <w:t xml:space="preserve">2000). </w:t>
      </w:r>
      <w:r w:rsidR="00B24E9E" w:rsidRPr="00802527">
        <w:rPr>
          <w:rFonts w:ascii="Calibri" w:hAnsi="Calibri"/>
          <w:sz w:val="22"/>
          <w:szCs w:val="22"/>
        </w:rPr>
        <w:t xml:space="preserve">An insurer that </w:t>
      </w:r>
      <w:r w:rsidRPr="00802527">
        <w:rPr>
          <w:rFonts w:ascii="Calibri" w:hAnsi="Calibri"/>
          <w:sz w:val="22"/>
          <w:szCs w:val="22"/>
        </w:rPr>
        <w:t xml:space="preserve">issued separate policies to </w:t>
      </w:r>
      <w:r w:rsidR="00B24E9E" w:rsidRPr="00802527">
        <w:rPr>
          <w:rFonts w:ascii="Calibri" w:hAnsi="Calibri"/>
          <w:sz w:val="22"/>
          <w:szCs w:val="22"/>
        </w:rPr>
        <w:t xml:space="preserve">the </w:t>
      </w:r>
      <w:r w:rsidRPr="00802527">
        <w:rPr>
          <w:rFonts w:ascii="Calibri" w:hAnsi="Calibri"/>
          <w:sz w:val="22"/>
          <w:szCs w:val="22"/>
        </w:rPr>
        <w:t xml:space="preserve">subrogor and target may not subrogate. </w:t>
      </w:r>
      <w:r w:rsidRPr="00802527">
        <w:rPr>
          <w:rFonts w:ascii="Calibri" w:hAnsi="Calibri"/>
          <w:i/>
          <w:sz w:val="22"/>
          <w:szCs w:val="22"/>
        </w:rPr>
        <w:t>Royal Exchange Assur. of America, Inc.</w:t>
      </w:r>
      <w:r w:rsidR="00006A26" w:rsidRPr="00802527">
        <w:rPr>
          <w:rFonts w:ascii="Calibri" w:hAnsi="Calibri"/>
          <w:i/>
          <w:sz w:val="22"/>
          <w:szCs w:val="22"/>
        </w:rPr>
        <w:t xml:space="preserve"> </w:t>
      </w:r>
      <w:r w:rsidRPr="00802527">
        <w:rPr>
          <w:rFonts w:ascii="Calibri" w:hAnsi="Calibri"/>
          <w:i/>
          <w:sz w:val="22"/>
          <w:szCs w:val="22"/>
        </w:rPr>
        <w:t>v. SS President Adams</w:t>
      </w:r>
      <w:r w:rsidRPr="00802527">
        <w:rPr>
          <w:rFonts w:ascii="Calibri" w:hAnsi="Calibri"/>
          <w:sz w:val="22"/>
          <w:szCs w:val="22"/>
        </w:rPr>
        <w:t xml:space="preserve">, 510 F.Supp. 581 (W.D. Wash. 1981). </w:t>
      </w:r>
      <w:r w:rsidR="00B24E9E" w:rsidRPr="00802527">
        <w:rPr>
          <w:rFonts w:ascii="Calibri" w:hAnsi="Calibri"/>
          <w:sz w:val="22"/>
          <w:szCs w:val="22"/>
        </w:rPr>
        <w:t xml:space="preserve">In </w:t>
      </w:r>
      <w:r w:rsidRPr="00802527">
        <w:rPr>
          <w:rFonts w:ascii="Calibri" w:hAnsi="Calibri"/>
          <w:i/>
          <w:sz w:val="22"/>
          <w:szCs w:val="22"/>
        </w:rPr>
        <w:t>Royal Exchange Assurance v. SS President Adams</w:t>
      </w:r>
      <w:r w:rsidRPr="00802527">
        <w:rPr>
          <w:rFonts w:ascii="Calibri" w:hAnsi="Calibri"/>
          <w:sz w:val="22"/>
          <w:szCs w:val="22"/>
        </w:rPr>
        <w:t>, 510 F.Supp. 581 (W.D. Wash. 1981)</w:t>
      </w:r>
      <w:r w:rsidR="00B24E9E" w:rsidRPr="00802527">
        <w:rPr>
          <w:rFonts w:ascii="Calibri" w:hAnsi="Calibri"/>
          <w:sz w:val="22"/>
          <w:szCs w:val="22"/>
        </w:rPr>
        <w:t>, m</w:t>
      </w:r>
      <w:r w:rsidRPr="00802527">
        <w:rPr>
          <w:rFonts w:ascii="Calibri" w:hAnsi="Calibri"/>
          <w:sz w:val="22"/>
          <w:szCs w:val="22"/>
        </w:rPr>
        <w:t>achinery, which the Lee Torgerson Machinery Company (“Torgerson”) had hired the American President Lines (“American”) shipping company to transport across the ocean, was damaged during transport. Torgerson’s insurer</w:t>
      </w:r>
      <w:r w:rsidR="00B24E9E" w:rsidRPr="00802527">
        <w:rPr>
          <w:rFonts w:ascii="Calibri" w:hAnsi="Calibri"/>
          <w:sz w:val="22"/>
          <w:szCs w:val="22"/>
        </w:rPr>
        <w:t>, the Royal Exchange Assurance o</w:t>
      </w:r>
      <w:r w:rsidRPr="00802527">
        <w:rPr>
          <w:rFonts w:ascii="Calibri" w:hAnsi="Calibri"/>
          <w:sz w:val="22"/>
          <w:szCs w:val="22"/>
        </w:rPr>
        <w:t xml:space="preserve">f America, attempted to subrogate against American for the money they had paid to Torgerson for the damaged machinery. The </w:t>
      </w:r>
      <w:r w:rsidR="00B24E9E" w:rsidRPr="00802527">
        <w:rPr>
          <w:rFonts w:ascii="Calibri" w:hAnsi="Calibri"/>
          <w:sz w:val="22"/>
          <w:szCs w:val="22"/>
        </w:rPr>
        <w:t>c</w:t>
      </w:r>
      <w:r w:rsidRPr="00802527">
        <w:rPr>
          <w:rFonts w:ascii="Calibri" w:hAnsi="Calibri"/>
          <w:sz w:val="22"/>
          <w:szCs w:val="22"/>
        </w:rPr>
        <w:t xml:space="preserve">ourt blocked subrogation though, as American had an unrelated liability policy from Torgerson for American’s stevedoring operations. </w:t>
      </w:r>
      <w:r w:rsidR="00B24E9E" w:rsidRPr="00802527">
        <w:rPr>
          <w:rFonts w:ascii="Calibri" w:hAnsi="Calibri"/>
          <w:sz w:val="22"/>
          <w:szCs w:val="22"/>
        </w:rPr>
        <w:t xml:space="preserve">In </w:t>
      </w:r>
      <w:r w:rsidRPr="00802527">
        <w:rPr>
          <w:rFonts w:ascii="Calibri" w:hAnsi="Calibri"/>
          <w:i/>
          <w:sz w:val="22"/>
          <w:szCs w:val="22"/>
        </w:rPr>
        <w:t xml:space="preserve">Ferrellgas, </w:t>
      </w:r>
      <w:r w:rsidR="00B24E9E" w:rsidRPr="00802527">
        <w:rPr>
          <w:rFonts w:ascii="Calibri" w:hAnsi="Calibri"/>
          <w:i/>
          <w:sz w:val="22"/>
          <w:szCs w:val="22"/>
        </w:rPr>
        <w:t>a</w:t>
      </w:r>
      <w:r w:rsidRPr="00802527">
        <w:rPr>
          <w:rFonts w:ascii="Calibri" w:hAnsi="Calibri"/>
          <w:sz w:val="22"/>
          <w:szCs w:val="22"/>
        </w:rPr>
        <w:t xml:space="preserve"> partially completed church was destroyed by a fire negligently caused by Art &amp; Sons, Inc., and the propane supplier, Ferrellgas, Inc. The </w:t>
      </w:r>
      <w:r w:rsidR="00B24E9E" w:rsidRPr="00802527">
        <w:rPr>
          <w:rFonts w:ascii="Calibri" w:hAnsi="Calibri"/>
          <w:sz w:val="22"/>
          <w:szCs w:val="22"/>
        </w:rPr>
        <w:t>c</w:t>
      </w:r>
      <w:r w:rsidRPr="00802527">
        <w:rPr>
          <w:rFonts w:ascii="Calibri" w:hAnsi="Calibri"/>
          <w:sz w:val="22"/>
          <w:szCs w:val="22"/>
        </w:rPr>
        <w:t>ourt found that Ferrellgas was a co-insured on the Church’s policy because the policy extended protection to Ferr</w:t>
      </w:r>
      <w:r w:rsidR="00B24E9E" w:rsidRPr="00802527">
        <w:rPr>
          <w:rFonts w:ascii="Calibri" w:hAnsi="Calibri"/>
          <w:sz w:val="22"/>
          <w:szCs w:val="22"/>
        </w:rPr>
        <w:t>ellgas’ propane tanks, but the c</w:t>
      </w:r>
      <w:r w:rsidRPr="00802527">
        <w:rPr>
          <w:rFonts w:ascii="Calibri" w:hAnsi="Calibri"/>
          <w:sz w:val="22"/>
          <w:szCs w:val="22"/>
        </w:rPr>
        <w:t>ourt rejected the doctrine that the policy extending protection to Ferrellgas’ property made Ferrellgas a co</w:t>
      </w:r>
      <w:r w:rsidR="00B24E9E" w:rsidRPr="00802527">
        <w:rPr>
          <w:rFonts w:ascii="Calibri" w:hAnsi="Calibri"/>
          <w:sz w:val="22"/>
          <w:szCs w:val="22"/>
        </w:rPr>
        <w:t>-</w:t>
      </w:r>
      <w:r w:rsidRPr="00802527">
        <w:rPr>
          <w:rFonts w:ascii="Calibri" w:hAnsi="Calibri"/>
          <w:sz w:val="22"/>
          <w:szCs w:val="22"/>
        </w:rPr>
        <w:t xml:space="preserve">insured for damage to all insured property. The </w:t>
      </w:r>
      <w:r w:rsidR="00B24E9E" w:rsidRPr="00802527">
        <w:rPr>
          <w:rFonts w:ascii="Calibri" w:hAnsi="Calibri"/>
          <w:sz w:val="22"/>
          <w:szCs w:val="22"/>
        </w:rPr>
        <w:t>c</w:t>
      </w:r>
      <w:r w:rsidRPr="00802527">
        <w:rPr>
          <w:rFonts w:ascii="Calibri" w:hAnsi="Calibri"/>
          <w:sz w:val="22"/>
          <w:szCs w:val="22"/>
        </w:rPr>
        <w:t xml:space="preserve">ourt instead ruled that the first question the </w:t>
      </w:r>
      <w:r w:rsidR="00B24E9E" w:rsidRPr="00802527">
        <w:rPr>
          <w:rFonts w:ascii="Calibri" w:hAnsi="Calibri"/>
          <w:sz w:val="22"/>
          <w:szCs w:val="22"/>
        </w:rPr>
        <w:t>c</w:t>
      </w:r>
      <w:r w:rsidRPr="00802527">
        <w:rPr>
          <w:rFonts w:ascii="Calibri" w:hAnsi="Calibri"/>
          <w:sz w:val="22"/>
          <w:szCs w:val="22"/>
        </w:rPr>
        <w:t>ourt should ask is “whether the owner and the contractor agreed that the owner would purchase insurance to cover damage to the p</w:t>
      </w:r>
      <w:r w:rsidR="00B24E9E" w:rsidRPr="00802527">
        <w:rPr>
          <w:rFonts w:ascii="Calibri" w:hAnsi="Calibri"/>
          <w:sz w:val="22"/>
          <w:szCs w:val="22"/>
        </w:rPr>
        <w:t>roject caused by the contractor’</w:t>
      </w:r>
      <w:r w:rsidRPr="00802527">
        <w:rPr>
          <w:rFonts w:ascii="Calibri" w:hAnsi="Calibri"/>
          <w:sz w:val="22"/>
          <w:szCs w:val="22"/>
        </w:rPr>
        <w:t xml:space="preserve">s negligence.” The </w:t>
      </w:r>
      <w:r w:rsidR="00B24E9E" w:rsidRPr="00802527">
        <w:rPr>
          <w:rFonts w:ascii="Calibri" w:hAnsi="Calibri"/>
          <w:sz w:val="22"/>
          <w:szCs w:val="22"/>
        </w:rPr>
        <w:t>c</w:t>
      </w:r>
      <w:r w:rsidRPr="00802527">
        <w:rPr>
          <w:rFonts w:ascii="Calibri" w:hAnsi="Calibri"/>
          <w:sz w:val="22"/>
          <w:szCs w:val="22"/>
        </w:rPr>
        <w:t>ourt found that Ferrellgas presented no evidence that the Church had intended to purchase builder’s risk insurance on behalf of Ferrellgas and</w:t>
      </w:r>
      <w:r w:rsidR="00B24E9E" w:rsidRPr="00802527">
        <w:rPr>
          <w:rFonts w:ascii="Calibri" w:hAnsi="Calibri"/>
          <w:sz w:val="22"/>
          <w:szCs w:val="22"/>
        </w:rPr>
        <w:t>,</w:t>
      </w:r>
      <w:r w:rsidRPr="00802527">
        <w:rPr>
          <w:rFonts w:ascii="Calibri" w:hAnsi="Calibri"/>
          <w:sz w:val="22"/>
          <w:szCs w:val="22"/>
        </w:rPr>
        <w:t xml:space="preserve"> therefore, Ferrellgas was not protected from subrogation for damage done to the Church’s property.</w:t>
      </w:r>
    </w:p>
    <w:p w14:paraId="00DADAFD" w14:textId="77777777" w:rsidR="00CB0FDE" w:rsidRPr="008F013B" w:rsidRDefault="00935406" w:rsidP="00DA750B">
      <w:pPr>
        <w:spacing w:before="180" w:after="120"/>
        <w:rPr>
          <w:rFonts w:ascii="Calibri" w:hAnsi="Calibri"/>
          <w:color w:val="0F243E"/>
          <w:sz w:val="24"/>
          <w:szCs w:val="24"/>
        </w:rPr>
      </w:pPr>
      <w:r w:rsidRPr="008F013B">
        <w:rPr>
          <w:rFonts w:ascii="Calibri" w:hAnsi="Calibri"/>
          <w:b/>
          <w:color w:val="0F243E"/>
          <w:sz w:val="24"/>
          <w:szCs w:val="24"/>
          <w:u w:val="single"/>
        </w:rPr>
        <w:t>WEST VIRGINIA</w:t>
      </w:r>
    </w:p>
    <w:p w14:paraId="670FDC32" w14:textId="6413813C" w:rsidR="00FC4A95" w:rsidRPr="00802527" w:rsidRDefault="00FC4A95" w:rsidP="00802527">
      <w:pPr>
        <w:spacing w:before="120" w:after="120"/>
        <w:jc w:val="both"/>
        <w:rPr>
          <w:rFonts w:ascii="Calibri" w:hAnsi="Calibri" w:cs="Times New Roman"/>
          <w:sz w:val="22"/>
          <w:szCs w:val="22"/>
        </w:rPr>
      </w:pPr>
      <w:r w:rsidRPr="00802527">
        <w:rPr>
          <w:rFonts w:ascii="Calibri" w:hAnsi="Calibri" w:cs="Times New Roman"/>
          <w:sz w:val="22"/>
          <w:szCs w:val="22"/>
        </w:rPr>
        <w:t>The right of subrogation cannot arise in favor of an insurer against its own insured, since by definition subrogation arises only with respect to rights of the insured against third persons to</w:t>
      </w:r>
      <w:r w:rsidR="00802527" w:rsidRPr="00802527">
        <w:rPr>
          <w:rFonts w:ascii="Calibri" w:hAnsi="Calibri" w:cs="Times New Roman"/>
          <w:sz w:val="22"/>
          <w:szCs w:val="22"/>
        </w:rPr>
        <w:t xml:space="preserve"> whom the insurer owes no duty.</w:t>
      </w:r>
      <w:r w:rsidRPr="00802527">
        <w:rPr>
          <w:rFonts w:ascii="Calibri" w:hAnsi="Calibri" w:cs="Times New Roman"/>
          <w:sz w:val="22"/>
          <w:szCs w:val="22"/>
        </w:rPr>
        <w:t xml:space="preserve"> </w:t>
      </w:r>
      <w:proofErr w:type="spellStart"/>
      <w:r w:rsidR="00802527" w:rsidRPr="00802527">
        <w:rPr>
          <w:rFonts w:ascii="Calibri" w:hAnsi="Calibri" w:cs="Times New Roman"/>
          <w:i/>
          <w:sz w:val="22"/>
          <w:szCs w:val="22"/>
        </w:rPr>
        <w:t>Norfold</w:t>
      </w:r>
      <w:proofErr w:type="spellEnd"/>
      <w:r w:rsidR="00802527" w:rsidRPr="00802527">
        <w:rPr>
          <w:rFonts w:ascii="Calibri" w:hAnsi="Calibri" w:cs="Times New Roman"/>
          <w:i/>
          <w:sz w:val="22"/>
          <w:szCs w:val="22"/>
        </w:rPr>
        <w:t xml:space="preserve"> S. Ry. Co. v. </w:t>
      </w:r>
      <w:proofErr w:type="spellStart"/>
      <w:r w:rsidR="00802527" w:rsidRPr="00802527">
        <w:rPr>
          <w:rFonts w:ascii="Calibri" w:hAnsi="Calibri" w:cs="Times New Roman"/>
          <w:i/>
          <w:sz w:val="22"/>
          <w:szCs w:val="22"/>
        </w:rPr>
        <w:t>Nat’</w:t>
      </w:r>
      <w:r w:rsidRPr="00802527">
        <w:rPr>
          <w:rFonts w:ascii="Calibri" w:hAnsi="Calibri" w:cs="Times New Roman"/>
          <w:i/>
          <w:sz w:val="22"/>
          <w:szCs w:val="22"/>
        </w:rPr>
        <w:t>l</w:t>
      </w:r>
      <w:proofErr w:type="spellEnd"/>
      <w:r w:rsidRPr="00802527">
        <w:rPr>
          <w:rFonts w:ascii="Calibri" w:hAnsi="Calibri" w:cs="Times New Roman"/>
          <w:i/>
          <w:sz w:val="22"/>
          <w:szCs w:val="22"/>
        </w:rPr>
        <w:t xml:space="preserve"> Union Fire Ins. of Pitt</w:t>
      </w:r>
      <w:r w:rsidR="00C47811" w:rsidRPr="00802527">
        <w:rPr>
          <w:rFonts w:ascii="Calibri" w:hAnsi="Calibri" w:cs="Times New Roman"/>
          <w:i/>
          <w:sz w:val="22"/>
          <w:szCs w:val="22"/>
        </w:rPr>
        <w:t>sburgh</w:t>
      </w:r>
      <w:r w:rsidR="00802527" w:rsidRPr="00802527">
        <w:rPr>
          <w:rFonts w:ascii="Calibri" w:hAnsi="Calibri" w:cs="Times New Roman"/>
          <w:sz w:val="22"/>
          <w:szCs w:val="22"/>
        </w:rPr>
        <w:t>, 999 F. Supp.</w:t>
      </w:r>
      <w:r w:rsidR="00C47811" w:rsidRPr="00802527">
        <w:rPr>
          <w:rFonts w:ascii="Calibri" w:hAnsi="Calibri" w:cs="Times New Roman"/>
          <w:sz w:val="22"/>
          <w:szCs w:val="22"/>
        </w:rPr>
        <w:t>2d 906</w:t>
      </w:r>
      <w:r w:rsidRPr="00802527">
        <w:rPr>
          <w:rFonts w:ascii="Calibri" w:hAnsi="Calibri" w:cs="Times New Roman"/>
          <w:sz w:val="22"/>
          <w:szCs w:val="22"/>
        </w:rPr>
        <w:t xml:space="preserve"> (S.D. W. Va. 2014); </w:t>
      </w:r>
      <w:r w:rsidRPr="00802527">
        <w:rPr>
          <w:rFonts w:ascii="Calibri" w:hAnsi="Calibri" w:cs="Times New Roman"/>
          <w:i/>
          <w:sz w:val="22"/>
          <w:szCs w:val="22"/>
        </w:rPr>
        <w:t>Richards v. All</w:t>
      </w:r>
      <w:r w:rsidR="0046701C" w:rsidRPr="00802527">
        <w:rPr>
          <w:rFonts w:ascii="Calibri" w:hAnsi="Calibri" w:cs="Times New Roman"/>
          <w:i/>
          <w:sz w:val="22"/>
          <w:szCs w:val="22"/>
        </w:rPr>
        <w:t>state Ins. Co.</w:t>
      </w:r>
      <w:r w:rsidR="0046701C" w:rsidRPr="00802527">
        <w:rPr>
          <w:rFonts w:ascii="Calibri" w:hAnsi="Calibri" w:cs="Times New Roman"/>
          <w:sz w:val="22"/>
          <w:szCs w:val="22"/>
        </w:rPr>
        <w:t xml:space="preserve">, 455 S.E.2d 803 </w:t>
      </w:r>
      <w:r w:rsidRPr="00802527">
        <w:rPr>
          <w:rFonts w:ascii="Calibri" w:hAnsi="Calibri" w:cs="Times New Roman"/>
          <w:sz w:val="22"/>
          <w:szCs w:val="22"/>
        </w:rPr>
        <w:t xml:space="preserve">(W. Va. 1995). However, in the absence of a conflict of interest between the insurer and its insured, a reimbursement right clearly stated in the policy is enforceable against the insured, even where the insured and the negligent third party are insured by the same carrier. </w:t>
      </w:r>
      <w:r w:rsidRPr="00802527">
        <w:rPr>
          <w:rFonts w:ascii="Calibri" w:hAnsi="Calibri" w:cs="Times New Roman"/>
          <w:i/>
          <w:sz w:val="22"/>
          <w:szCs w:val="22"/>
        </w:rPr>
        <w:t>Ferrell v. Nationwide Mut. Ins. Co</w:t>
      </w:r>
      <w:r w:rsidR="0046701C" w:rsidRPr="00802527">
        <w:rPr>
          <w:rFonts w:ascii="Calibri" w:hAnsi="Calibri" w:cs="Times New Roman"/>
          <w:sz w:val="22"/>
          <w:szCs w:val="22"/>
        </w:rPr>
        <w:t>.,</w:t>
      </w:r>
      <w:r w:rsidRPr="00802527">
        <w:rPr>
          <w:rFonts w:ascii="Calibri" w:hAnsi="Calibri" w:cs="Times New Roman"/>
          <w:sz w:val="22"/>
          <w:szCs w:val="22"/>
        </w:rPr>
        <w:t xml:space="preserve"> 617 S.E.2d 790 (</w:t>
      </w:r>
      <w:r w:rsidR="007E7AA3" w:rsidRPr="00802527">
        <w:rPr>
          <w:rFonts w:ascii="Calibri" w:hAnsi="Calibri" w:cs="Times New Roman"/>
          <w:sz w:val="22"/>
          <w:szCs w:val="22"/>
        </w:rPr>
        <w:t xml:space="preserve">W. Va. </w:t>
      </w:r>
      <w:r w:rsidRPr="00802527">
        <w:rPr>
          <w:rFonts w:ascii="Calibri" w:hAnsi="Calibri" w:cs="Times New Roman"/>
          <w:sz w:val="22"/>
          <w:szCs w:val="22"/>
        </w:rPr>
        <w:t>2005</w:t>
      </w:r>
      <w:r w:rsidR="00C47811" w:rsidRPr="00802527">
        <w:rPr>
          <w:rFonts w:ascii="Calibri" w:hAnsi="Calibri" w:cs="Times New Roman"/>
          <w:sz w:val="22"/>
          <w:szCs w:val="22"/>
        </w:rPr>
        <w:t>).</w:t>
      </w:r>
      <w:r w:rsidR="0053449B">
        <w:rPr>
          <w:rFonts w:ascii="Calibri" w:hAnsi="Calibri" w:cs="Times New Roman"/>
          <w:sz w:val="22"/>
          <w:szCs w:val="22"/>
        </w:rPr>
        <w:t xml:space="preserve"> West Virginia </w:t>
      </w:r>
      <w:r w:rsidR="0053449B" w:rsidRPr="00515A84">
        <w:rPr>
          <w:rFonts w:ascii="Calibri" w:hAnsi="Calibri" w:cs="Times New Roman"/>
          <w:sz w:val="22"/>
          <w:szCs w:val="22"/>
        </w:rPr>
        <w:t>applies the ASR to cases</w:t>
      </w:r>
      <w:r w:rsidR="0053449B">
        <w:rPr>
          <w:rFonts w:ascii="Calibri" w:hAnsi="Calibri" w:cs="Times New Roman"/>
          <w:sz w:val="22"/>
          <w:szCs w:val="22"/>
        </w:rPr>
        <w:t xml:space="preserve"> </w:t>
      </w:r>
      <w:r w:rsidR="0053449B" w:rsidRPr="00515A84">
        <w:rPr>
          <w:rFonts w:ascii="Calibri" w:hAnsi="Calibri" w:cs="Times New Roman"/>
          <w:sz w:val="22"/>
          <w:szCs w:val="22"/>
        </w:rPr>
        <w:t xml:space="preserve">which involve separate insureds under two separate policies. </w:t>
      </w:r>
      <w:r w:rsidR="0053449B" w:rsidRPr="00515A84">
        <w:rPr>
          <w:rFonts w:ascii="Calibri" w:hAnsi="Calibri" w:cs="Times New Roman"/>
          <w:i/>
          <w:iCs/>
          <w:sz w:val="22"/>
          <w:szCs w:val="22"/>
        </w:rPr>
        <w:t>Richards v. Allstate Insurance Co</w:t>
      </w:r>
      <w:r w:rsidR="0053449B" w:rsidRPr="00515A84">
        <w:rPr>
          <w:rFonts w:ascii="Calibri" w:hAnsi="Calibri" w:cs="Times New Roman"/>
          <w:sz w:val="22"/>
          <w:szCs w:val="22"/>
        </w:rPr>
        <w:t>., 455 S.E.2d 803 (W. Va. 1995</w:t>
      </w:r>
      <w:r w:rsidR="0053449B">
        <w:rPr>
          <w:rFonts w:ascii="Calibri" w:hAnsi="Calibri" w:cs="Times New Roman"/>
          <w:sz w:val="22"/>
          <w:szCs w:val="22"/>
        </w:rPr>
        <w:t>)</w:t>
      </w:r>
      <w:r w:rsidR="0053449B" w:rsidRPr="00515A84">
        <w:rPr>
          <w:rFonts w:ascii="Calibri" w:hAnsi="Calibri" w:cs="Times New Roman"/>
          <w:sz w:val="22"/>
          <w:szCs w:val="22"/>
        </w:rPr>
        <w:t>.</w:t>
      </w:r>
    </w:p>
    <w:p w14:paraId="667F6485" w14:textId="77777777" w:rsidR="008E658B" w:rsidRPr="008F013B" w:rsidRDefault="00935406" w:rsidP="00DA750B">
      <w:pPr>
        <w:spacing w:before="180" w:after="120"/>
        <w:jc w:val="both"/>
        <w:rPr>
          <w:rFonts w:ascii="Calibri" w:hAnsi="Calibri"/>
          <w:color w:val="0F243E"/>
          <w:sz w:val="24"/>
          <w:szCs w:val="24"/>
        </w:rPr>
      </w:pPr>
      <w:r w:rsidRPr="008F013B">
        <w:rPr>
          <w:rFonts w:ascii="Calibri" w:hAnsi="Calibri"/>
          <w:b/>
          <w:color w:val="0F243E"/>
          <w:sz w:val="24"/>
          <w:szCs w:val="24"/>
          <w:u w:val="single"/>
        </w:rPr>
        <w:t>WISCONSIN</w:t>
      </w:r>
    </w:p>
    <w:p w14:paraId="40403F5F" w14:textId="77777777" w:rsidR="006318A0" w:rsidRPr="00802527" w:rsidRDefault="008E658B" w:rsidP="00696E3D">
      <w:pPr>
        <w:spacing w:before="120" w:after="120"/>
        <w:jc w:val="both"/>
        <w:rPr>
          <w:rFonts w:ascii="Calibri" w:hAnsi="Calibri"/>
          <w:b/>
          <w:bCs/>
          <w:sz w:val="22"/>
          <w:szCs w:val="22"/>
        </w:rPr>
      </w:pPr>
      <w:r w:rsidRPr="00802527">
        <w:rPr>
          <w:rFonts w:ascii="Calibri" w:hAnsi="Calibri"/>
          <w:sz w:val="22"/>
          <w:szCs w:val="22"/>
        </w:rPr>
        <w:t xml:space="preserve">As a general rule, an insurer has no right of subrogation or indemnification against its own insured. </w:t>
      </w:r>
      <w:r w:rsidRPr="00802527">
        <w:rPr>
          <w:rFonts w:ascii="Calibri" w:hAnsi="Calibri"/>
          <w:i/>
          <w:sz w:val="22"/>
          <w:szCs w:val="22"/>
        </w:rPr>
        <w:t>Rural Mut. Ins. Co. v. Peterson</w:t>
      </w:r>
      <w:r w:rsidR="00C47811" w:rsidRPr="00802527">
        <w:rPr>
          <w:rFonts w:ascii="Calibri" w:hAnsi="Calibri"/>
          <w:i/>
          <w:sz w:val="22"/>
          <w:szCs w:val="22"/>
        </w:rPr>
        <w:t xml:space="preserve">, </w:t>
      </w:r>
      <w:r w:rsidR="00C47811" w:rsidRPr="00802527">
        <w:rPr>
          <w:rFonts w:ascii="Calibri" w:hAnsi="Calibri"/>
          <w:sz w:val="22"/>
          <w:szCs w:val="22"/>
        </w:rPr>
        <w:t>395 N.W.2d 776</w:t>
      </w:r>
      <w:r w:rsidR="00C47811" w:rsidRPr="00802527">
        <w:rPr>
          <w:rFonts w:ascii="Calibri" w:hAnsi="Calibri"/>
          <w:i/>
          <w:sz w:val="22"/>
          <w:szCs w:val="22"/>
        </w:rPr>
        <w:t xml:space="preserve"> </w:t>
      </w:r>
      <w:r w:rsidR="00C47811" w:rsidRPr="00802527">
        <w:rPr>
          <w:rFonts w:ascii="Calibri" w:hAnsi="Calibri"/>
          <w:sz w:val="22"/>
          <w:szCs w:val="22"/>
        </w:rPr>
        <w:t xml:space="preserve">(Wis. 1986). </w:t>
      </w:r>
      <w:r w:rsidRPr="00802527">
        <w:rPr>
          <w:rFonts w:ascii="Calibri" w:hAnsi="Calibri"/>
          <w:sz w:val="22"/>
          <w:szCs w:val="22"/>
        </w:rPr>
        <w:t xml:space="preserve">However, neither statute nor public policy prohibits provisions in motor vehicle policies allowing insurer reimbursement from insured for amounts paid by insurer to third party. </w:t>
      </w:r>
      <w:r w:rsidRPr="00802527">
        <w:rPr>
          <w:rFonts w:ascii="Calibri" w:hAnsi="Calibri"/>
          <w:i/>
          <w:sz w:val="22"/>
          <w:szCs w:val="22"/>
        </w:rPr>
        <w:t>Id</w:t>
      </w:r>
      <w:r w:rsidRPr="00802527">
        <w:rPr>
          <w:rFonts w:ascii="Calibri" w:hAnsi="Calibri"/>
          <w:sz w:val="22"/>
          <w:szCs w:val="22"/>
        </w:rPr>
        <w:t xml:space="preserve">. Subrogation against an insured is permitted if the insured intentionally causes damage to an insured property, such as through arson. </w:t>
      </w:r>
      <w:r w:rsidRPr="00802527">
        <w:rPr>
          <w:rFonts w:ascii="Calibri" w:hAnsi="Calibri"/>
          <w:i/>
          <w:sz w:val="22"/>
          <w:szCs w:val="22"/>
        </w:rPr>
        <w:t>Madsen v. Threshermen’s Mut</w:t>
      </w:r>
      <w:r w:rsidR="00802527" w:rsidRPr="00802527">
        <w:rPr>
          <w:rFonts w:ascii="Calibri" w:hAnsi="Calibri"/>
          <w:i/>
          <w:sz w:val="22"/>
          <w:szCs w:val="22"/>
        </w:rPr>
        <w:t>.</w:t>
      </w:r>
      <w:r w:rsidRPr="00802527">
        <w:rPr>
          <w:rFonts w:ascii="Calibri" w:hAnsi="Calibri"/>
          <w:i/>
          <w:sz w:val="22"/>
          <w:szCs w:val="22"/>
        </w:rPr>
        <w:t xml:space="preserve"> Ins</w:t>
      </w:r>
      <w:r w:rsidR="00802527" w:rsidRPr="00802527">
        <w:rPr>
          <w:rFonts w:ascii="Calibri" w:hAnsi="Calibri"/>
          <w:i/>
          <w:sz w:val="22"/>
          <w:szCs w:val="22"/>
        </w:rPr>
        <w:t>.</w:t>
      </w:r>
      <w:r w:rsidRPr="00802527">
        <w:rPr>
          <w:rFonts w:ascii="Calibri" w:hAnsi="Calibri"/>
          <w:i/>
          <w:sz w:val="22"/>
          <w:szCs w:val="22"/>
        </w:rPr>
        <w:t xml:space="preserve"> Co.</w:t>
      </w:r>
      <w:r w:rsidRPr="00802527">
        <w:rPr>
          <w:rFonts w:ascii="Calibri" w:hAnsi="Calibri"/>
          <w:sz w:val="22"/>
          <w:szCs w:val="22"/>
        </w:rPr>
        <w:t xml:space="preserve">, 439 N.W.2d 607 (Wis. Ct. App. 1989). </w:t>
      </w:r>
      <w:r w:rsidR="00802527" w:rsidRPr="00802527">
        <w:rPr>
          <w:rFonts w:ascii="Calibri" w:hAnsi="Calibri"/>
          <w:sz w:val="22"/>
          <w:szCs w:val="22"/>
        </w:rPr>
        <w:t xml:space="preserve">In </w:t>
      </w:r>
      <w:r w:rsidRPr="00802527">
        <w:rPr>
          <w:rFonts w:ascii="Calibri" w:hAnsi="Calibri"/>
          <w:i/>
          <w:sz w:val="22"/>
          <w:szCs w:val="22"/>
        </w:rPr>
        <w:t>Peterson,</w:t>
      </w:r>
      <w:r w:rsidR="00C47811" w:rsidRPr="00802527">
        <w:rPr>
          <w:rFonts w:ascii="Calibri" w:hAnsi="Calibri"/>
          <w:i/>
          <w:sz w:val="22"/>
          <w:szCs w:val="22"/>
        </w:rPr>
        <w:t xml:space="preserve"> </w:t>
      </w:r>
      <w:r w:rsidR="00802527" w:rsidRPr="00802527">
        <w:rPr>
          <w:rFonts w:ascii="Calibri" w:hAnsi="Calibri"/>
          <w:i/>
          <w:sz w:val="22"/>
          <w:szCs w:val="22"/>
        </w:rPr>
        <w:t>a</w:t>
      </w:r>
      <w:r w:rsidRPr="00802527">
        <w:rPr>
          <w:rFonts w:ascii="Calibri" w:hAnsi="Calibri"/>
          <w:sz w:val="22"/>
          <w:szCs w:val="22"/>
        </w:rPr>
        <w:t xml:space="preserve">fter Rural insured Peterson’s fleet of trucks, Peterson purchased an additional truck and leased it to Beguelin, who acquired his own insurance for the truck. Although Rural never explicitly agreed to insure the leased truck, Rural was dragged </w:t>
      </w:r>
      <w:r w:rsidR="00802527" w:rsidRPr="00802527">
        <w:rPr>
          <w:rFonts w:ascii="Calibri" w:hAnsi="Calibri"/>
          <w:sz w:val="22"/>
          <w:szCs w:val="22"/>
        </w:rPr>
        <w:t xml:space="preserve">into </w:t>
      </w:r>
      <w:r w:rsidRPr="00802527">
        <w:rPr>
          <w:rFonts w:ascii="Calibri" w:hAnsi="Calibri"/>
          <w:sz w:val="22"/>
          <w:szCs w:val="22"/>
        </w:rPr>
        <w:t xml:space="preserve">litigation involving the leased truck after it was involved in an accident and a court ruled Rural technically covered the truck under a blanket coverage provision included in the original policy it issued to Peterson. Rural subsequently settled the lawsuit but Peterson refused to sign off on the settlement because the settlement did not include any language indicating that Rural would drop any reimbursement claims it had against Peterson. The original contract between Peterson and Rural contained a clause that allowed Rural to seek reimbursement from Peterson for any damages Rural was required to pay for only because a financial responsibility law of the state required Rural to make a payment. Rural then sued Peterson seeking reimbursement for the settled lawsuit. The </w:t>
      </w:r>
      <w:r w:rsidR="00802527" w:rsidRPr="00802527">
        <w:rPr>
          <w:rFonts w:ascii="Calibri" w:hAnsi="Calibri"/>
          <w:sz w:val="22"/>
          <w:szCs w:val="22"/>
        </w:rPr>
        <w:t>c</w:t>
      </w:r>
      <w:r w:rsidRPr="00802527">
        <w:rPr>
          <w:rFonts w:ascii="Calibri" w:hAnsi="Calibri"/>
          <w:sz w:val="22"/>
          <w:szCs w:val="22"/>
        </w:rPr>
        <w:t xml:space="preserve">ourt ruled in Rural’s favor, reasoning that the reimbursement clause in the original contract between Peterson and Rural did not violate statute or public policy. </w:t>
      </w:r>
    </w:p>
    <w:p w14:paraId="7BCBFF6B" w14:textId="77777777" w:rsidR="00FC5F0E" w:rsidRPr="008F013B" w:rsidRDefault="00935406" w:rsidP="00DA750B">
      <w:pPr>
        <w:keepNext/>
        <w:spacing w:before="180" w:after="120"/>
        <w:jc w:val="both"/>
        <w:rPr>
          <w:rFonts w:ascii="Calibri" w:hAnsi="Calibri"/>
          <w:b/>
          <w:color w:val="0F243E"/>
          <w:sz w:val="24"/>
          <w:szCs w:val="24"/>
        </w:rPr>
      </w:pPr>
      <w:r w:rsidRPr="008F013B">
        <w:rPr>
          <w:rFonts w:ascii="Calibri" w:hAnsi="Calibri"/>
          <w:b/>
          <w:color w:val="0F243E"/>
          <w:sz w:val="24"/>
          <w:szCs w:val="24"/>
          <w:u w:val="single"/>
        </w:rPr>
        <w:t>WYOMING</w:t>
      </w:r>
    </w:p>
    <w:p w14:paraId="5C1298E4" w14:textId="2B6AA2C0" w:rsidR="00913585" w:rsidRPr="00802527" w:rsidRDefault="00913585" w:rsidP="00696E3D">
      <w:pPr>
        <w:spacing w:before="120" w:after="120"/>
        <w:jc w:val="both"/>
        <w:rPr>
          <w:rFonts w:ascii="Calibri" w:hAnsi="Calibri"/>
          <w:sz w:val="22"/>
          <w:szCs w:val="22"/>
        </w:rPr>
      </w:pPr>
      <w:r w:rsidRPr="00802527">
        <w:rPr>
          <w:rFonts w:ascii="Calibri" w:hAnsi="Calibri"/>
          <w:sz w:val="22"/>
          <w:szCs w:val="22"/>
        </w:rPr>
        <w:t xml:space="preserve">In the aftermath of an environmental loss which implicates an insured’s property and liability insurance policies, the property insurer which has paid benefits may recover from the liability insurer. </w:t>
      </w:r>
      <w:r w:rsidRPr="00802527">
        <w:rPr>
          <w:rFonts w:ascii="Calibri" w:hAnsi="Calibri"/>
          <w:i/>
          <w:sz w:val="22"/>
          <w:szCs w:val="22"/>
        </w:rPr>
        <w:t>Compass Ins. Co. v. Cravens, Dargen and Co.</w:t>
      </w:r>
      <w:r w:rsidRPr="00802527">
        <w:rPr>
          <w:rFonts w:ascii="Calibri" w:hAnsi="Calibri"/>
          <w:sz w:val="22"/>
          <w:szCs w:val="22"/>
        </w:rPr>
        <w:t>, 748 P.2d 724 (Wyo. 1988) (</w:t>
      </w:r>
      <w:r w:rsidR="00DA750B">
        <w:rPr>
          <w:rFonts w:ascii="Calibri" w:hAnsi="Calibri"/>
          <w:sz w:val="22"/>
          <w:szCs w:val="22"/>
        </w:rPr>
        <w:t xml:space="preserve">in essence </w:t>
      </w:r>
      <w:r w:rsidRPr="00802527">
        <w:rPr>
          <w:rFonts w:ascii="Calibri" w:hAnsi="Calibri"/>
          <w:sz w:val="22"/>
          <w:szCs w:val="22"/>
        </w:rPr>
        <w:t>permitting a property insurer to subrogate against its insured).</w:t>
      </w:r>
    </w:p>
    <w:p w14:paraId="1298A5F5" w14:textId="25D55B78" w:rsidR="00935406" w:rsidRPr="00B37BBC" w:rsidRDefault="00935406" w:rsidP="00DA750B">
      <w:pPr>
        <w:pBdr>
          <w:top w:val="single" w:sz="4" w:space="1" w:color="0F243E"/>
          <w:left w:val="single" w:sz="4" w:space="4" w:color="0F243E"/>
          <w:bottom w:val="single" w:sz="4" w:space="1" w:color="0F243E"/>
          <w:right w:val="single" w:sz="4" w:space="4" w:color="0F243E"/>
        </w:pBdr>
        <w:shd w:val="clear" w:color="auto" w:fill="0F243E"/>
        <w:spacing w:before="120" w:after="120"/>
        <w:jc w:val="both"/>
        <w:rPr>
          <w:rFonts w:ascii="Calibri" w:hAnsi="Calibri"/>
          <w:i/>
          <w:sz w:val="18"/>
          <w:szCs w:val="18"/>
        </w:rPr>
      </w:pPr>
      <w:r w:rsidRPr="008F013B">
        <w:rPr>
          <w:rFonts w:ascii="Calibri" w:hAnsi="Calibri"/>
          <w:b/>
          <w:bCs/>
          <w:i/>
          <w:color w:val="FFFFFF"/>
        </w:rPr>
        <w:t xml:space="preserve">These materials and other materials promulgated by Matthiesen, Wickert &amp; Lehrer, S.C. may become outdated or superseded as time goes by. If you should have questions regarding the current applicability of any topics contained in this publication or any of the publications distributed by Matthiesen, Wickert &amp; Lehrer, S.C., please contact Gary Wickert at (800) 637-9176 or </w:t>
      </w:r>
      <w:hyperlink r:id="rId13" w:history="1">
        <w:r w:rsidRPr="008F013B">
          <w:rPr>
            <w:rStyle w:val="Hyperlink"/>
            <w:rFonts w:ascii="Calibri" w:hAnsi="Calibri"/>
            <w:b/>
            <w:bCs/>
            <w:i/>
            <w:color w:val="FFFFFF"/>
          </w:rPr>
          <w:t>gwickert@mwl-law.com</w:t>
        </w:r>
      </w:hyperlink>
      <w:r w:rsidRPr="008F013B">
        <w:rPr>
          <w:rFonts w:ascii="Calibri" w:hAnsi="Calibri"/>
          <w:b/>
          <w:bCs/>
          <w:i/>
          <w:color w:val="FFFFFF"/>
        </w:rPr>
        <w:t xml:space="preserve">. This publication is intended for the clients and friends of Matthiesen, Wickert &amp; Lehrer, S.C. This information should not be construed as legal advice concerning any factual situation and representation of insurance companies and\or individuals by Matthiesen, Wickert &amp; Lehrer, S.C. on specific facts disclosed within the attorney\client relationship. These materials should not </w:t>
      </w:r>
      <w:r w:rsidR="008315C9">
        <w:rPr>
          <w:rFonts w:ascii="Calibri" w:hAnsi="Calibri"/>
          <w:b/>
          <w:bCs/>
          <w:i/>
          <w:color w:val="FFFFFF"/>
        </w:rPr>
        <w:t xml:space="preserve">be </w:t>
      </w:r>
      <w:r w:rsidRPr="008F013B">
        <w:rPr>
          <w:rFonts w:ascii="Calibri" w:hAnsi="Calibri"/>
          <w:b/>
          <w:bCs/>
          <w:i/>
          <w:color w:val="FFFFFF"/>
        </w:rPr>
        <w:t>used in lieu thereof in anyway.</w:t>
      </w:r>
    </w:p>
    <w:p w14:paraId="052360F4" w14:textId="77777777" w:rsidR="007F249A" w:rsidRPr="009D602C" w:rsidRDefault="007F249A" w:rsidP="00DA750B">
      <w:pPr>
        <w:spacing w:before="120" w:after="120"/>
        <w:jc w:val="both"/>
        <w:rPr>
          <w:rFonts w:ascii="Calibri" w:hAnsi="Calibri"/>
          <w:sz w:val="24"/>
          <w:szCs w:val="24"/>
        </w:rPr>
      </w:pPr>
    </w:p>
    <w:sectPr w:rsidR="007F249A" w:rsidRPr="009D602C" w:rsidSect="008E4EA2">
      <w:footerReference w:type="default" r:id="rId14"/>
      <w:pgSz w:w="15840" w:h="12240" w:orient="landscape"/>
      <w:pgMar w:top="864" w:right="432" w:bottom="576" w:left="432" w:header="720" w:footer="57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79F3D" w14:textId="77777777" w:rsidR="006807B5" w:rsidRDefault="006807B5">
      <w:r>
        <w:separator/>
      </w:r>
    </w:p>
  </w:endnote>
  <w:endnote w:type="continuationSeparator" w:id="0">
    <w:p w14:paraId="1C54D5EB" w14:textId="77777777" w:rsidR="006807B5" w:rsidRDefault="0068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916C" w14:textId="1E6BD1A9" w:rsidR="00C35C2E" w:rsidRPr="000C3965" w:rsidRDefault="00C35C2E" w:rsidP="008E4EA2">
    <w:pPr>
      <w:tabs>
        <w:tab w:val="left" w:pos="90"/>
      </w:tabs>
      <w:ind w:left="-144" w:right="14"/>
      <w:jc w:val="center"/>
      <w:rPr>
        <w:rFonts w:ascii="Calibri" w:hAnsi="Calibri"/>
        <w:b/>
        <w:bCs/>
        <w:color w:val="0F243E"/>
        <w:sz w:val="22"/>
        <w:szCs w:val="22"/>
      </w:rPr>
    </w:pPr>
    <w:r>
      <w:rPr>
        <w:rFonts w:ascii="Calibri" w:hAnsi="Calibri"/>
        <w:b/>
        <w:bCs/>
        <w:color w:val="0F243E"/>
        <w:sz w:val="22"/>
        <w:szCs w:val="22"/>
      </w:rPr>
      <w:t xml:space="preserve">WORK PRODUCT OF </w:t>
    </w:r>
    <w:r w:rsidRPr="000C3965">
      <w:rPr>
        <w:rFonts w:ascii="Calibri" w:hAnsi="Calibri"/>
        <w:b/>
        <w:bCs/>
        <w:color w:val="0F243E"/>
        <w:sz w:val="22"/>
        <w:szCs w:val="22"/>
      </w:rPr>
      <w:t>MATTHIESEN, WICKERT &amp; LEHRER, S.C.</w:t>
    </w:r>
    <w:r w:rsidRPr="000C3965">
      <w:rPr>
        <w:rFonts w:ascii="Calibri" w:hAnsi="Calibri"/>
        <w:b/>
        <w:bCs/>
        <w:color w:val="0F243E"/>
        <w:sz w:val="22"/>
        <w:szCs w:val="22"/>
      </w:rPr>
      <w:tab/>
    </w:r>
    <w:r w:rsidRPr="000C3965">
      <w:rPr>
        <w:rFonts w:ascii="Calibri" w:hAnsi="Calibri"/>
        <w:b/>
        <w:bCs/>
        <w:color w:val="0F243E"/>
        <w:sz w:val="22"/>
        <w:szCs w:val="22"/>
      </w:rPr>
      <w:tab/>
      <w:t xml:space="preserve">Page </w:t>
    </w:r>
    <w:r w:rsidRPr="000C3965">
      <w:rPr>
        <w:rFonts w:ascii="Calibri" w:hAnsi="Calibri"/>
        <w:b/>
        <w:bCs/>
        <w:color w:val="0F243E"/>
        <w:sz w:val="22"/>
        <w:szCs w:val="22"/>
      </w:rPr>
      <w:fldChar w:fldCharType="begin"/>
    </w:r>
    <w:r w:rsidRPr="000C3965">
      <w:rPr>
        <w:rFonts w:ascii="Calibri" w:hAnsi="Calibri"/>
        <w:b/>
        <w:bCs/>
        <w:color w:val="0F243E"/>
        <w:sz w:val="22"/>
        <w:szCs w:val="22"/>
      </w:rPr>
      <w:instrText xml:space="preserve"> PAGE   \* MERGEFORMAT </w:instrText>
    </w:r>
    <w:r w:rsidRPr="000C3965">
      <w:rPr>
        <w:rFonts w:ascii="Calibri" w:hAnsi="Calibri"/>
        <w:b/>
        <w:bCs/>
        <w:color w:val="0F243E"/>
        <w:sz w:val="22"/>
        <w:szCs w:val="22"/>
      </w:rPr>
      <w:fldChar w:fldCharType="separate"/>
    </w:r>
    <w:r w:rsidR="00C37FE4">
      <w:rPr>
        <w:rFonts w:ascii="Calibri" w:hAnsi="Calibri"/>
        <w:b/>
        <w:bCs/>
        <w:noProof/>
        <w:color w:val="0F243E"/>
        <w:sz w:val="22"/>
        <w:szCs w:val="22"/>
      </w:rPr>
      <w:t>1</w:t>
    </w:r>
    <w:r w:rsidRPr="000C3965">
      <w:rPr>
        <w:rFonts w:ascii="Calibri" w:hAnsi="Calibri"/>
        <w:b/>
        <w:bCs/>
        <w:noProof/>
        <w:color w:val="0F243E"/>
        <w:sz w:val="22"/>
        <w:szCs w:val="22"/>
      </w:rPr>
      <w:fldChar w:fldCharType="end"/>
    </w:r>
    <w:r w:rsidRPr="000C3965">
      <w:rPr>
        <w:rFonts w:ascii="Calibri" w:hAnsi="Calibri"/>
        <w:b/>
        <w:bCs/>
        <w:noProof/>
        <w:color w:val="0F243E"/>
        <w:sz w:val="22"/>
        <w:szCs w:val="22"/>
      </w:rPr>
      <w:tab/>
    </w:r>
    <w:r w:rsidRPr="000C3965">
      <w:rPr>
        <w:rFonts w:ascii="Calibri" w:hAnsi="Calibri"/>
        <w:b/>
        <w:bCs/>
        <w:noProof/>
        <w:color w:val="0F243E"/>
        <w:sz w:val="22"/>
        <w:szCs w:val="22"/>
      </w:rPr>
      <w:tab/>
    </w:r>
    <w:r w:rsidRPr="000C3965">
      <w:rPr>
        <w:rFonts w:ascii="Calibri" w:hAnsi="Calibri"/>
        <w:b/>
        <w:bCs/>
        <w:noProof/>
        <w:color w:val="0F243E"/>
        <w:sz w:val="22"/>
        <w:szCs w:val="22"/>
      </w:rPr>
      <w:tab/>
    </w:r>
    <w:r w:rsidRPr="000C3965">
      <w:rPr>
        <w:rFonts w:ascii="Calibri" w:hAnsi="Calibri"/>
        <w:b/>
        <w:bCs/>
        <w:noProof/>
        <w:color w:val="0F243E"/>
        <w:sz w:val="22"/>
        <w:szCs w:val="22"/>
      </w:rPr>
      <w:tab/>
    </w:r>
    <w:r w:rsidRPr="000C3965">
      <w:rPr>
        <w:rFonts w:ascii="Calibri" w:hAnsi="Calibri"/>
        <w:b/>
        <w:bCs/>
        <w:noProof/>
        <w:color w:val="0F243E"/>
        <w:sz w:val="22"/>
        <w:szCs w:val="22"/>
      </w:rPr>
      <w:tab/>
    </w:r>
    <w:r w:rsidRPr="000C3965">
      <w:rPr>
        <w:rFonts w:ascii="Calibri" w:hAnsi="Calibri"/>
        <w:b/>
        <w:bCs/>
        <w:noProof/>
        <w:color w:val="0F243E"/>
        <w:sz w:val="22"/>
        <w:szCs w:val="22"/>
      </w:rPr>
      <w:tab/>
    </w:r>
    <w:r w:rsidRPr="000C3965">
      <w:rPr>
        <w:rFonts w:ascii="Calibri" w:hAnsi="Calibri"/>
        <w:b/>
        <w:bCs/>
        <w:noProof/>
        <w:color w:val="0F243E"/>
        <w:sz w:val="22"/>
        <w:szCs w:val="22"/>
      </w:rPr>
      <w:tab/>
    </w:r>
    <w:r w:rsidRPr="000C3965">
      <w:rPr>
        <w:rFonts w:ascii="Calibri" w:hAnsi="Calibri"/>
        <w:b/>
        <w:bCs/>
        <w:noProof/>
        <w:color w:val="0F243E"/>
        <w:sz w:val="22"/>
        <w:szCs w:val="22"/>
      </w:rPr>
      <w:tab/>
    </w:r>
    <w:r w:rsidRPr="000C3965">
      <w:rPr>
        <w:rFonts w:ascii="Calibri" w:hAnsi="Calibri"/>
        <w:b/>
        <w:bCs/>
        <w:color w:val="0F243E"/>
        <w:sz w:val="22"/>
        <w:szCs w:val="22"/>
      </w:rPr>
      <w:t xml:space="preserve">Last Updated </w:t>
    </w:r>
    <w:r w:rsidRPr="000C3965">
      <w:rPr>
        <w:rFonts w:ascii="Calibri" w:hAnsi="Calibri"/>
        <w:b/>
        <w:bCs/>
        <w:color w:val="0F243E"/>
        <w:sz w:val="22"/>
        <w:szCs w:val="22"/>
      </w:rPr>
      <w:fldChar w:fldCharType="begin"/>
    </w:r>
    <w:r w:rsidRPr="000C3965">
      <w:rPr>
        <w:rFonts w:ascii="Calibri" w:hAnsi="Calibri"/>
        <w:b/>
        <w:bCs/>
        <w:color w:val="0F243E"/>
        <w:sz w:val="22"/>
        <w:szCs w:val="22"/>
      </w:rPr>
      <w:instrText>DATE \@ "M/d/yy"</w:instrText>
    </w:r>
    <w:r w:rsidRPr="000C3965">
      <w:rPr>
        <w:rFonts w:ascii="Calibri" w:hAnsi="Calibri"/>
        <w:b/>
        <w:bCs/>
        <w:color w:val="0F243E"/>
        <w:sz w:val="22"/>
        <w:szCs w:val="22"/>
      </w:rPr>
      <w:fldChar w:fldCharType="separate"/>
    </w:r>
    <w:r w:rsidR="0026622B">
      <w:rPr>
        <w:rFonts w:ascii="Calibri" w:hAnsi="Calibri"/>
        <w:b/>
        <w:bCs/>
        <w:noProof/>
        <w:color w:val="0F243E"/>
        <w:sz w:val="22"/>
        <w:szCs w:val="22"/>
      </w:rPr>
      <w:t>6/11/26</w:t>
    </w:r>
    <w:r w:rsidRPr="000C3965">
      <w:rPr>
        <w:rFonts w:ascii="Calibri" w:hAnsi="Calibri"/>
        <w:b/>
        <w:bCs/>
        <w:color w:val="0F243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E4245" w14:textId="77777777" w:rsidR="006807B5" w:rsidRDefault="006807B5">
      <w:r>
        <w:separator/>
      </w:r>
    </w:p>
  </w:footnote>
  <w:footnote w:type="continuationSeparator" w:id="0">
    <w:p w14:paraId="7FCCB9E4" w14:textId="77777777" w:rsidR="006807B5" w:rsidRDefault="00680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033CE"/>
    <w:multiLevelType w:val="multilevel"/>
    <w:tmpl w:val="2D60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36E4F"/>
    <w:multiLevelType w:val="hybridMultilevel"/>
    <w:tmpl w:val="42FE60DC"/>
    <w:lvl w:ilvl="0" w:tplc="0409000F">
      <w:start w:val="1"/>
      <w:numFmt w:val="decimal"/>
      <w:lvlText w:val="%1."/>
      <w:lvlJc w:val="left"/>
      <w:pPr>
        <w:tabs>
          <w:tab w:val="num" w:pos="771"/>
        </w:tabs>
        <w:ind w:left="771" w:hanging="360"/>
      </w:pPr>
    </w:lvl>
    <w:lvl w:ilvl="1" w:tplc="04090019" w:tentative="1">
      <w:start w:val="1"/>
      <w:numFmt w:val="lowerLetter"/>
      <w:lvlText w:val="%2."/>
      <w:lvlJc w:val="left"/>
      <w:pPr>
        <w:tabs>
          <w:tab w:val="num" w:pos="1491"/>
        </w:tabs>
        <w:ind w:left="1491" w:hanging="360"/>
      </w:pPr>
    </w:lvl>
    <w:lvl w:ilvl="2" w:tplc="0409001B" w:tentative="1">
      <w:start w:val="1"/>
      <w:numFmt w:val="lowerRoman"/>
      <w:lvlText w:val="%3."/>
      <w:lvlJc w:val="right"/>
      <w:pPr>
        <w:tabs>
          <w:tab w:val="num" w:pos="2211"/>
        </w:tabs>
        <w:ind w:left="2211" w:hanging="180"/>
      </w:pPr>
    </w:lvl>
    <w:lvl w:ilvl="3" w:tplc="0409000F" w:tentative="1">
      <w:start w:val="1"/>
      <w:numFmt w:val="decimal"/>
      <w:lvlText w:val="%4."/>
      <w:lvlJc w:val="left"/>
      <w:pPr>
        <w:tabs>
          <w:tab w:val="num" w:pos="2931"/>
        </w:tabs>
        <w:ind w:left="2931" w:hanging="360"/>
      </w:pPr>
    </w:lvl>
    <w:lvl w:ilvl="4" w:tplc="04090019" w:tentative="1">
      <w:start w:val="1"/>
      <w:numFmt w:val="lowerLetter"/>
      <w:lvlText w:val="%5."/>
      <w:lvlJc w:val="left"/>
      <w:pPr>
        <w:tabs>
          <w:tab w:val="num" w:pos="3651"/>
        </w:tabs>
        <w:ind w:left="3651" w:hanging="360"/>
      </w:pPr>
    </w:lvl>
    <w:lvl w:ilvl="5" w:tplc="0409001B" w:tentative="1">
      <w:start w:val="1"/>
      <w:numFmt w:val="lowerRoman"/>
      <w:lvlText w:val="%6."/>
      <w:lvlJc w:val="right"/>
      <w:pPr>
        <w:tabs>
          <w:tab w:val="num" w:pos="4371"/>
        </w:tabs>
        <w:ind w:left="4371" w:hanging="180"/>
      </w:pPr>
    </w:lvl>
    <w:lvl w:ilvl="6" w:tplc="0409000F" w:tentative="1">
      <w:start w:val="1"/>
      <w:numFmt w:val="decimal"/>
      <w:lvlText w:val="%7."/>
      <w:lvlJc w:val="left"/>
      <w:pPr>
        <w:tabs>
          <w:tab w:val="num" w:pos="5091"/>
        </w:tabs>
        <w:ind w:left="5091" w:hanging="360"/>
      </w:pPr>
    </w:lvl>
    <w:lvl w:ilvl="7" w:tplc="04090019" w:tentative="1">
      <w:start w:val="1"/>
      <w:numFmt w:val="lowerLetter"/>
      <w:lvlText w:val="%8."/>
      <w:lvlJc w:val="left"/>
      <w:pPr>
        <w:tabs>
          <w:tab w:val="num" w:pos="5811"/>
        </w:tabs>
        <w:ind w:left="5811" w:hanging="360"/>
      </w:pPr>
    </w:lvl>
    <w:lvl w:ilvl="8" w:tplc="0409001B" w:tentative="1">
      <w:start w:val="1"/>
      <w:numFmt w:val="lowerRoman"/>
      <w:lvlText w:val="%9."/>
      <w:lvlJc w:val="right"/>
      <w:pPr>
        <w:tabs>
          <w:tab w:val="num" w:pos="6531"/>
        </w:tabs>
        <w:ind w:left="6531" w:hanging="180"/>
      </w:pPr>
    </w:lvl>
  </w:abstractNum>
  <w:abstractNum w:abstractNumId="2" w15:restartNumberingAfterBreak="0">
    <w:nsid w:val="0A0E6DA1"/>
    <w:multiLevelType w:val="hybridMultilevel"/>
    <w:tmpl w:val="4FF84E16"/>
    <w:lvl w:ilvl="0" w:tplc="6EF08BD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140517"/>
    <w:multiLevelType w:val="hybridMultilevel"/>
    <w:tmpl w:val="C4E0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3511C"/>
    <w:multiLevelType w:val="hybridMultilevel"/>
    <w:tmpl w:val="72B287EA"/>
    <w:lvl w:ilvl="0" w:tplc="F0A0DAC6">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1FDA221C"/>
    <w:multiLevelType w:val="hybridMultilevel"/>
    <w:tmpl w:val="0EFA0BEA"/>
    <w:lvl w:ilvl="0" w:tplc="3FB6A0E8">
      <w:start w:val="1"/>
      <w:numFmt w:val="decimal"/>
      <w:lvlText w:val="(%1)"/>
      <w:lvlJc w:val="left"/>
      <w:pPr>
        <w:ind w:left="1080" w:hanging="360"/>
      </w:pPr>
      <w:rPr>
        <w:rFonts w:ascii="Calibri" w:hAnsi="Calibri"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B0B190C"/>
    <w:multiLevelType w:val="hybridMultilevel"/>
    <w:tmpl w:val="41A23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F020E"/>
    <w:multiLevelType w:val="hybridMultilevel"/>
    <w:tmpl w:val="185CF4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CC62886"/>
    <w:multiLevelType w:val="hybridMultilevel"/>
    <w:tmpl w:val="9A52A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EA070D"/>
    <w:multiLevelType w:val="hybridMultilevel"/>
    <w:tmpl w:val="CBB0CCD8"/>
    <w:lvl w:ilvl="0" w:tplc="3FB6A0E8">
      <w:start w:val="1"/>
      <w:numFmt w:val="decimal"/>
      <w:lvlText w:val="(%1)"/>
      <w:lvlJc w:val="left"/>
      <w:pPr>
        <w:tabs>
          <w:tab w:val="num" w:pos="789"/>
        </w:tabs>
        <w:ind w:left="789" w:hanging="360"/>
      </w:pPr>
      <w:rPr>
        <w:rFonts w:ascii="Calibri" w:hAnsi="Calibri" w:cs="Times New Roman" w:hint="default"/>
      </w:r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num w:numId="1" w16cid:durableId="214197266">
    <w:abstractNumId w:val="3"/>
  </w:num>
  <w:num w:numId="2" w16cid:durableId="1595283782">
    <w:abstractNumId w:val="8"/>
  </w:num>
  <w:num w:numId="3" w16cid:durableId="863900923">
    <w:abstractNumId w:val="9"/>
  </w:num>
  <w:num w:numId="4" w16cid:durableId="298076561">
    <w:abstractNumId w:val="7"/>
  </w:num>
  <w:num w:numId="5" w16cid:durableId="693658200">
    <w:abstractNumId w:val="1"/>
  </w:num>
  <w:num w:numId="6" w16cid:durableId="696272815">
    <w:abstractNumId w:val="4"/>
  </w:num>
  <w:num w:numId="7" w16cid:durableId="1693529577">
    <w:abstractNumId w:val="2"/>
  </w:num>
  <w:num w:numId="8" w16cid:durableId="345525407">
    <w:abstractNumId w:val="5"/>
  </w:num>
  <w:num w:numId="9" w16cid:durableId="619645890">
    <w:abstractNumId w:val="6"/>
  </w:num>
  <w:num w:numId="10" w16cid:durableId="50405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3A"/>
    <w:rsid w:val="000039A7"/>
    <w:rsid w:val="000051A3"/>
    <w:rsid w:val="00006A26"/>
    <w:rsid w:val="0001373A"/>
    <w:rsid w:val="00014562"/>
    <w:rsid w:val="00015FD2"/>
    <w:rsid w:val="00021859"/>
    <w:rsid w:val="0002343F"/>
    <w:rsid w:val="00023D7F"/>
    <w:rsid w:val="00024939"/>
    <w:rsid w:val="00025173"/>
    <w:rsid w:val="000257BD"/>
    <w:rsid w:val="000262B0"/>
    <w:rsid w:val="00027F07"/>
    <w:rsid w:val="00030819"/>
    <w:rsid w:val="0003125C"/>
    <w:rsid w:val="00032C10"/>
    <w:rsid w:val="00034F59"/>
    <w:rsid w:val="000369A3"/>
    <w:rsid w:val="0004497B"/>
    <w:rsid w:val="00045651"/>
    <w:rsid w:val="00056211"/>
    <w:rsid w:val="00060499"/>
    <w:rsid w:val="000611A8"/>
    <w:rsid w:val="00061E95"/>
    <w:rsid w:val="00061F71"/>
    <w:rsid w:val="00064958"/>
    <w:rsid w:val="00064C4D"/>
    <w:rsid w:val="00064C89"/>
    <w:rsid w:val="00067651"/>
    <w:rsid w:val="00070C45"/>
    <w:rsid w:val="0007377C"/>
    <w:rsid w:val="000737E4"/>
    <w:rsid w:val="0007688A"/>
    <w:rsid w:val="000770F0"/>
    <w:rsid w:val="00077F51"/>
    <w:rsid w:val="00080AE0"/>
    <w:rsid w:val="00080C5A"/>
    <w:rsid w:val="000816B1"/>
    <w:rsid w:val="000817D2"/>
    <w:rsid w:val="00081A79"/>
    <w:rsid w:val="00087320"/>
    <w:rsid w:val="00087A24"/>
    <w:rsid w:val="00087E52"/>
    <w:rsid w:val="000900FE"/>
    <w:rsid w:val="000908E0"/>
    <w:rsid w:val="0009090E"/>
    <w:rsid w:val="00090A1C"/>
    <w:rsid w:val="00091E2E"/>
    <w:rsid w:val="00094025"/>
    <w:rsid w:val="000A1B36"/>
    <w:rsid w:val="000A1C2D"/>
    <w:rsid w:val="000A28A0"/>
    <w:rsid w:val="000A4651"/>
    <w:rsid w:val="000A58E7"/>
    <w:rsid w:val="000A6D06"/>
    <w:rsid w:val="000B0840"/>
    <w:rsid w:val="000B4F2A"/>
    <w:rsid w:val="000B7575"/>
    <w:rsid w:val="000C036B"/>
    <w:rsid w:val="000C03B2"/>
    <w:rsid w:val="000C2F34"/>
    <w:rsid w:val="000C38D9"/>
    <w:rsid w:val="000C3965"/>
    <w:rsid w:val="000C538B"/>
    <w:rsid w:val="000D44C0"/>
    <w:rsid w:val="000D4D4B"/>
    <w:rsid w:val="000D54E1"/>
    <w:rsid w:val="000D6D2A"/>
    <w:rsid w:val="000E021C"/>
    <w:rsid w:val="000E18E2"/>
    <w:rsid w:val="000E236E"/>
    <w:rsid w:val="000E698E"/>
    <w:rsid w:val="000F38A4"/>
    <w:rsid w:val="000F6DE3"/>
    <w:rsid w:val="000F74ED"/>
    <w:rsid w:val="00101B05"/>
    <w:rsid w:val="001062BE"/>
    <w:rsid w:val="001065AE"/>
    <w:rsid w:val="00107532"/>
    <w:rsid w:val="0010789A"/>
    <w:rsid w:val="00116F53"/>
    <w:rsid w:val="00117DA9"/>
    <w:rsid w:val="001210A3"/>
    <w:rsid w:val="00121496"/>
    <w:rsid w:val="00121D5D"/>
    <w:rsid w:val="00123800"/>
    <w:rsid w:val="00124DB3"/>
    <w:rsid w:val="00124F7F"/>
    <w:rsid w:val="00125180"/>
    <w:rsid w:val="0012739D"/>
    <w:rsid w:val="0013147F"/>
    <w:rsid w:val="00131CAF"/>
    <w:rsid w:val="00134128"/>
    <w:rsid w:val="0013443F"/>
    <w:rsid w:val="001347C6"/>
    <w:rsid w:val="001361FA"/>
    <w:rsid w:val="0014043A"/>
    <w:rsid w:val="00141CA0"/>
    <w:rsid w:val="00142CDE"/>
    <w:rsid w:val="001445C5"/>
    <w:rsid w:val="00145BBD"/>
    <w:rsid w:val="00147566"/>
    <w:rsid w:val="001475E9"/>
    <w:rsid w:val="001508CD"/>
    <w:rsid w:val="00150B4D"/>
    <w:rsid w:val="001525C6"/>
    <w:rsid w:val="00167CB4"/>
    <w:rsid w:val="001706C6"/>
    <w:rsid w:val="001730EB"/>
    <w:rsid w:val="00184773"/>
    <w:rsid w:val="00187C05"/>
    <w:rsid w:val="00190D59"/>
    <w:rsid w:val="00193309"/>
    <w:rsid w:val="0019569D"/>
    <w:rsid w:val="00196B2A"/>
    <w:rsid w:val="00197809"/>
    <w:rsid w:val="00197E51"/>
    <w:rsid w:val="001A13A2"/>
    <w:rsid w:val="001A3659"/>
    <w:rsid w:val="001A7192"/>
    <w:rsid w:val="001B7490"/>
    <w:rsid w:val="001C093F"/>
    <w:rsid w:val="001C1229"/>
    <w:rsid w:val="001C6D59"/>
    <w:rsid w:val="001C7C15"/>
    <w:rsid w:val="001E7A07"/>
    <w:rsid w:val="001F0D15"/>
    <w:rsid w:val="001F4AFF"/>
    <w:rsid w:val="001F5BBF"/>
    <w:rsid w:val="001F609B"/>
    <w:rsid w:val="001F60A4"/>
    <w:rsid w:val="001F6F82"/>
    <w:rsid w:val="001F7E85"/>
    <w:rsid w:val="0020381E"/>
    <w:rsid w:val="0021209A"/>
    <w:rsid w:val="00213452"/>
    <w:rsid w:val="00214436"/>
    <w:rsid w:val="00215505"/>
    <w:rsid w:val="00216D70"/>
    <w:rsid w:val="00220B8E"/>
    <w:rsid w:val="002220F2"/>
    <w:rsid w:val="00224717"/>
    <w:rsid w:val="00224F60"/>
    <w:rsid w:val="00225EFD"/>
    <w:rsid w:val="00226BCA"/>
    <w:rsid w:val="00230D9E"/>
    <w:rsid w:val="0023312A"/>
    <w:rsid w:val="00243E3D"/>
    <w:rsid w:val="00244FAC"/>
    <w:rsid w:val="00246E92"/>
    <w:rsid w:val="002472D8"/>
    <w:rsid w:val="0024735B"/>
    <w:rsid w:val="00247590"/>
    <w:rsid w:val="00247B0F"/>
    <w:rsid w:val="002506A5"/>
    <w:rsid w:val="0025201E"/>
    <w:rsid w:val="00252397"/>
    <w:rsid w:val="002568AF"/>
    <w:rsid w:val="00257B42"/>
    <w:rsid w:val="00261B54"/>
    <w:rsid w:val="00262091"/>
    <w:rsid w:val="00265F07"/>
    <w:rsid w:val="0026622B"/>
    <w:rsid w:val="00270AAC"/>
    <w:rsid w:val="00281468"/>
    <w:rsid w:val="00283EC8"/>
    <w:rsid w:val="002840A0"/>
    <w:rsid w:val="00285BF4"/>
    <w:rsid w:val="002862ED"/>
    <w:rsid w:val="0028736F"/>
    <w:rsid w:val="002921A2"/>
    <w:rsid w:val="0029373E"/>
    <w:rsid w:val="00294746"/>
    <w:rsid w:val="00296EB3"/>
    <w:rsid w:val="002A3073"/>
    <w:rsid w:val="002A6901"/>
    <w:rsid w:val="002B0461"/>
    <w:rsid w:val="002B067A"/>
    <w:rsid w:val="002B1C06"/>
    <w:rsid w:val="002B3055"/>
    <w:rsid w:val="002B3448"/>
    <w:rsid w:val="002C10C7"/>
    <w:rsid w:val="002C1760"/>
    <w:rsid w:val="002C441A"/>
    <w:rsid w:val="002D4461"/>
    <w:rsid w:val="002D45E0"/>
    <w:rsid w:val="002D48C5"/>
    <w:rsid w:val="002D491B"/>
    <w:rsid w:val="002D6243"/>
    <w:rsid w:val="002D7785"/>
    <w:rsid w:val="002E08E9"/>
    <w:rsid w:val="002E4A66"/>
    <w:rsid w:val="002F1283"/>
    <w:rsid w:val="002F6005"/>
    <w:rsid w:val="002F7718"/>
    <w:rsid w:val="002F777D"/>
    <w:rsid w:val="003002CC"/>
    <w:rsid w:val="00304604"/>
    <w:rsid w:val="0031512C"/>
    <w:rsid w:val="003207D4"/>
    <w:rsid w:val="003211F5"/>
    <w:rsid w:val="00323DD4"/>
    <w:rsid w:val="00326BAE"/>
    <w:rsid w:val="00327E00"/>
    <w:rsid w:val="0033214A"/>
    <w:rsid w:val="00332B33"/>
    <w:rsid w:val="00332F69"/>
    <w:rsid w:val="00333068"/>
    <w:rsid w:val="0033448F"/>
    <w:rsid w:val="003360EA"/>
    <w:rsid w:val="00337E2F"/>
    <w:rsid w:val="00340D29"/>
    <w:rsid w:val="00344DE8"/>
    <w:rsid w:val="00347049"/>
    <w:rsid w:val="00350E61"/>
    <w:rsid w:val="00351A2F"/>
    <w:rsid w:val="00352B1A"/>
    <w:rsid w:val="003577F1"/>
    <w:rsid w:val="00357987"/>
    <w:rsid w:val="00357CEC"/>
    <w:rsid w:val="003614F2"/>
    <w:rsid w:val="00363331"/>
    <w:rsid w:val="00364A5C"/>
    <w:rsid w:val="00367975"/>
    <w:rsid w:val="00367F8B"/>
    <w:rsid w:val="00371812"/>
    <w:rsid w:val="00373661"/>
    <w:rsid w:val="00374115"/>
    <w:rsid w:val="00374CDE"/>
    <w:rsid w:val="003753A0"/>
    <w:rsid w:val="0037593C"/>
    <w:rsid w:val="003760AF"/>
    <w:rsid w:val="00376812"/>
    <w:rsid w:val="00376D2D"/>
    <w:rsid w:val="0037703E"/>
    <w:rsid w:val="003805CB"/>
    <w:rsid w:val="00385907"/>
    <w:rsid w:val="00385C25"/>
    <w:rsid w:val="00386C03"/>
    <w:rsid w:val="00386F32"/>
    <w:rsid w:val="003872B9"/>
    <w:rsid w:val="003915EA"/>
    <w:rsid w:val="003931BF"/>
    <w:rsid w:val="003B0552"/>
    <w:rsid w:val="003B50FE"/>
    <w:rsid w:val="003B622B"/>
    <w:rsid w:val="003C2F77"/>
    <w:rsid w:val="003C6C4A"/>
    <w:rsid w:val="003D0785"/>
    <w:rsid w:val="003D4491"/>
    <w:rsid w:val="003D6046"/>
    <w:rsid w:val="003D60B1"/>
    <w:rsid w:val="003D6FFE"/>
    <w:rsid w:val="003E24B6"/>
    <w:rsid w:val="003E37AA"/>
    <w:rsid w:val="003E39FA"/>
    <w:rsid w:val="003E4762"/>
    <w:rsid w:val="003E56CE"/>
    <w:rsid w:val="003E6954"/>
    <w:rsid w:val="003E777F"/>
    <w:rsid w:val="003F18EF"/>
    <w:rsid w:val="003F21A6"/>
    <w:rsid w:val="003F2E8A"/>
    <w:rsid w:val="003F5147"/>
    <w:rsid w:val="003F52EF"/>
    <w:rsid w:val="003F5FF5"/>
    <w:rsid w:val="003F677A"/>
    <w:rsid w:val="003F7EF6"/>
    <w:rsid w:val="00400819"/>
    <w:rsid w:val="00400FC2"/>
    <w:rsid w:val="00403DF9"/>
    <w:rsid w:val="00404571"/>
    <w:rsid w:val="004047E0"/>
    <w:rsid w:val="00406878"/>
    <w:rsid w:val="00406E94"/>
    <w:rsid w:val="00407205"/>
    <w:rsid w:val="00411371"/>
    <w:rsid w:val="004125C1"/>
    <w:rsid w:val="004130FD"/>
    <w:rsid w:val="004137FE"/>
    <w:rsid w:val="004146AE"/>
    <w:rsid w:val="00415477"/>
    <w:rsid w:val="00425B5A"/>
    <w:rsid w:val="00432F36"/>
    <w:rsid w:val="00435ED9"/>
    <w:rsid w:val="0043636F"/>
    <w:rsid w:val="00436719"/>
    <w:rsid w:val="00437C33"/>
    <w:rsid w:val="00440477"/>
    <w:rsid w:val="00446B29"/>
    <w:rsid w:val="0045202E"/>
    <w:rsid w:val="00452D43"/>
    <w:rsid w:val="00453E0C"/>
    <w:rsid w:val="00454749"/>
    <w:rsid w:val="0045509C"/>
    <w:rsid w:val="00460CEF"/>
    <w:rsid w:val="00460E85"/>
    <w:rsid w:val="004615F8"/>
    <w:rsid w:val="0046701C"/>
    <w:rsid w:val="004760D3"/>
    <w:rsid w:val="0048049E"/>
    <w:rsid w:val="00480707"/>
    <w:rsid w:val="004831E5"/>
    <w:rsid w:val="004844CC"/>
    <w:rsid w:val="004849E1"/>
    <w:rsid w:val="00485340"/>
    <w:rsid w:val="004863C1"/>
    <w:rsid w:val="00487B2D"/>
    <w:rsid w:val="00491ADB"/>
    <w:rsid w:val="00491FB5"/>
    <w:rsid w:val="00492317"/>
    <w:rsid w:val="00492AB0"/>
    <w:rsid w:val="004939CF"/>
    <w:rsid w:val="0049709E"/>
    <w:rsid w:val="004A0CF8"/>
    <w:rsid w:val="004A767B"/>
    <w:rsid w:val="004B0064"/>
    <w:rsid w:val="004B2A67"/>
    <w:rsid w:val="004B34AE"/>
    <w:rsid w:val="004B617F"/>
    <w:rsid w:val="004B64B5"/>
    <w:rsid w:val="004B7BFF"/>
    <w:rsid w:val="004C0F9C"/>
    <w:rsid w:val="004C1942"/>
    <w:rsid w:val="004C1CA2"/>
    <w:rsid w:val="004C2831"/>
    <w:rsid w:val="004C37A6"/>
    <w:rsid w:val="004C4812"/>
    <w:rsid w:val="004C7B25"/>
    <w:rsid w:val="004D35C1"/>
    <w:rsid w:val="004D447E"/>
    <w:rsid w:val="004D4CBC"/>
    <w:rsid w:val="004D7A9E"/>
    <w:rsid w:val="004E0120"/>
    <w:rsid w:val="004E18D3"/>
    <w:rsid w:val="004E2085"/>
    <w:rsid w:val="004E33F0"/>
    <w:rsid w:val="004E3C06"/>
    <w:rsid w:val="004F0F28"/>
    <w:rsid w:val="004F70AB"/>
    <w:rsid w:val="004F7E15"/>
    <w:rsid w:val="005049A4"/>
    <w:rsid w:val="00507BEB"/>
    <w:rsid w:val="00511952"/>
    <w:rsid w:val="00517C66"/>
    <w:rsid w:val="00520BC8"/>
    <w:rsid w:val="00522BC6"/>
    <w:rsid w:val="00525D6D"/>
    <w:rsid w:val="005319F0"/>
    <w:rsid w:val="00533E5B"/>
    <w:rsid w:val="0053448F"/>
    <w:rsid w:val="0053449B"/>
    <w:rsid w:val="00535338"/>
    <w:rsid w:val="00536781"/>
    <w:rsid w:val="0053710E"/>
    <w:rsid w:val="005417A8"/>
    <w:rsid w:val="00544E11"/>
    <w:rsid w:val="005463DC"/>
    <w:rsid w:val="005527D4"/>
    <w:rsid w:val="00553C5E"/>
    <w:rsid w:val="00556272"/>
    <w:rsid w:val="0055760C"/>
    <w:rsid w:val="00560149"/>
    <w:rsid w:val="0056087C"/>
    <w:rsid w:val="00562A2F"/>
    <w:rsid w:val="00562F6E"/>
    <w:rsid w:val="0056623B"/>
    <w:rsid w:val="00573C48"/>
    <w:rsid w:val="00575C2D"/>
    <w:rsid w:val="0058253D"/>
    <w:rsid w:val="00582BCD"/>
    <w:rsid w:val="005859D2"/>
    <w:rsid w:val="0058744C"/>
    <w:rsid w:val="00587897"/>
    <w:rsid w:val="00591887"/>
    <w:rsid w:val="00592319"/>
    <w:rsid w:val="005931FC"/>
    <w:rsid w:val="0059452C"/>
    <w:rsid w:val="00595C78"/>
    <w:rsid w:val="00595D0A"/>
    <w:rsid w:val="00596759"/>
    <w:rsid w:val="00596C9D"/>
    <w:rsid w:val="005971EF"/>
    <w:rsid w:val="005A059F"/>
    <w:rsid w:val="005A1135"/>
    <w:rsid w:val="005A1BA8"/>
    <w:rsid w:val="005A2072"/>
    <w:rsid w:val="005A65F6"/>
    <w:rsid w:val="005B175D"/>
    <w:rsid w:val="005B404D"/>
    <w:rsid w:val="005B48C8"/>
    <w:rsid w:val="005B53F2"/>
    <w:rsid w:val="005B5FCF"/>
    <w:rsid w:val="005B6810"/>
    <w:rsid w:val="005B74AC"/>
    <w:rsid w:val="005C010D"/>
    <w:rsid w:val="005C1138"/>
    <w:rsid w:val="005C670B"/>
    <w:rsid w:val="005C6B05"/>
    <w:rsid w:val="005D00B4"/>
    <w:rsid w:val="005D12A6"/>
    <w:rsid w:val="005D578A"/>
    <w:rsid w:val="005E025A"/>
    <w:rsid w:val="005E0370"/>
    <w:rsid w:val="005E0B63"/>
    <w:rsid w:val="005E0EE7"/>
    <w:rsid w:val="005E38ED"/>
    <w:rsid w:val="005E5415"/>
    <w:rsid w:val="005E6B1F"/>
    <w:rsid w:val="005F2E43"/>
    <w:rsid w:val="005F5BB8"/>
    <w:rsid w:val="005F6071"/>
    <w:rsid w:val="006018FA"/>
    <w:rsid w:val="00601D50"/>
    <w:rsid w:val="00602DED"/>
    <w:rsid w:val="00604C58"/>
    <w:rsid w:val="00604EE6"/>
    <w:rsid w:val="00607AF1"/>
    <w:rsid w:val="006130D7"/>
    <w:rsid w:val="00620485"/>
    <w:rsid w:val="006213EF"/>
    <w:rsid w:val="00622AAE"/>
    <w:rsid w:val="00625006"/>
    <w:rsid w:val="00625BE6"/>
    <w:rsid w:val="00626242"/>
    <w:rsid w:val="006263CA"/>
    <w:rsid w:val="00630A0D"/>
    <w:rsid w:val="006318A0"/>
    <w:rsid w:val="00633646"/>
    <w:rsid w:val="00635305"/>
    <w:rsid w:val="006367E6"/>
    <w:rsid w:val="00640A12"/>
    <w:rsid w:val="006503DC"/>
    <w:rsid w:val="00651DB7"/>
    <w:rsid w:val="00651E6D"/>
    <w:rsid w:val="006543A5"/>
    <w:rsid w:val="00657271"/>
    <w:rsid w:val="00657CA3"/>
    <w:rsid w:val="0066238C"/>
    <w:rsid w:val="006635EB"/>
    <w:rsid w:val="006643CB"/>
    <w:rsid w:val="006648AF"/>
    <w:rsid w:val="0066613A"/>
    <w:rsid w:val="006664D7"/>
    <w:rsid w:val="006670FB"/>
    <w:rsid w:val="00670C26"/>
    <w:rsid w:val="0067488B"/>
    <w:rsid w:val="00675EA0"/>
    <w:rsid w:val="006807B5"/>
    <w:rsid w:val="00681638"/>
    <w:rsid w:val="00682DE6"/>
    <w:rsid w:val="00683CCB"/>
    <w:rsid w:val="0068597C"/>
    <w:rsid w:val="00686B46"/>
    <w:rsid w:val="006922FF"/>
    <w:rsid w:val="00693BBE"/>
    <w:rsid w:val="00693C32"/>
    <w:rsid w:val="00695554"/>
    <w:rsid w:val="00696745"/>
    <w:rsid w:val="00696E3D"/>
    <w:rsid w:val="006A3454"/>
    <w:rsid w:val="006A4B98"/>
    <w:rsid w:val="006B063B"/>
    <w:rsid w:val="006B223F"/>
    <w:rsid w:val="006B3020"/>
    <w:rsid w:val="006B3595"/>
    <w:rsid w:val="006B60E6"/>
    <w:rsid w:val="006B6407"/>
    <w:rsid w:val="006B731C"/>
    <w:rsid w:val="006B7603"/>
    <w:rsid w:val="006C2192"/>
    <w:rsid w:val="006C369C"/>
    <w:rsid w:val="006C6FDF"/>
    <w:rsid w:val="006D0BA4"/>
    <w:rsid w:val="006D2AD0"/>
    <w:rsid w:val="006D2E87"/>
    <w:rsid w:val="006D4142"/>
    <w:rsid w:val="006D528E"/>
    <w:rsid w:val="006E28BD"/>
    <w:rsid w:val="006E3448"/>
    <w:rsid w:val="006E34C5"/>
    <w:rsid w:val="006E3B66"/>
    <w:rsid w:val="006E62A4"/>
    <w:rsid w:val="006E7558"/>
    <w:rsid w:val="006E7B56"/>
    <w:rsid w:val="006F29D9"/>
    <w:rsid w:val="006F2DA1"/>
    <w:rsid w:val="00702F33"/>
    <w:rsid w:val="00704D3C"/>
    <w:rsid w:val="00704E6F"/>
    <w:rsid w:val="00706695"/>
    <w:rsid w:val="007072FD"/>
    <w:rsid w:val="00716DEE"/>
    <w:rsid w:val="0071735E"/>
    <w:rsid w:val="0072127E"/>
    <w:rsid w:val="00721D1D"/>
    <w:rsid w:val="00721DD3"/>
    <w:rsid w:val="00724DD9"/>
    <w:rsid w:val="00727619"/>
    <w:rsid w:val="00730188"/>
    <w:rsid w:val="00730F58"/>
    <w:rsid w:val="00731553"/>
    <w:rsid w:val="007337B5"/>
    <w:rsid w:val="00735973"/>
    <w:rsid w:val="00737343"/>
    <w:rsid w:val="00741328"/>
    <w:rsid w:val="00742BDC"/>
    <w:rsid w:val="00743882"/>
    <w:rsid w:val="00745DFF"/>
    <w:rsid w:val="00746E59"/>
    <w:rsid w:val="007478A8"/>
    <w:rsid w:val="0075067A"/>
    <w:rsid w:val="00752EB4"/>
    <w:rsid w:val="00755637"/>
    <w:rsid w:val="00755874"/>
    <w:rsid w:val="00756008"/>
    <w:rsid w:val="007624C4"/>
    <w:rsid w:val="007707FA"/>
    <w:rsid w:val="00770BA1"/>
    <w:rsid w:val="00770FC4"/>
    <w:rsid w:val="0077194D"/>
    <w:rsid w:val="00781DCB"/>
    <w:rsid w:val="007829BC"/>
    <w:rsid w:val="007832FB"/>
    <w:rsid w:val="00783439"/>
    <w:rsid w:val="00783E2D"/>
    <w:rsid w:val="00787590"/>
    <w:rsid w:val="007903D4"/>
    <w:rsid w:val="00793442"/>
    <w:rsid w:val="007953DC"/>
    <w:rsid w:val="0079547F"/>
    <w:rsid w:val="007A389A"/>
    <w:rsid w:val="007A5397"/>
    <w:rsid w:val="007A559B"/>
    <w:rsid w:val="007A5D52"/>
    <w:rsid w:val="007B456A"/>
    <w:rsid w:val="007B4B0D"/>
    <w:rsid w:val="007B5FEF"/>
    <w:rsid w:val="007B627A"/>
    <w:rsid w:val="007B76EB"/>
    <w:rsid w:val="007C2DC2"/>
    <w:rsid w:val="007C34CE"/>
    <w:rsid w:val="007C3E70"/>
    <w:rsid w:val="007C5B0E"/>
    <w:rsid w:val="007C6406"/>
    <w:rsid w:val="007D0AE8"/>
    <w:rsid w:val="007D0B1C"/>
    <w:rsid w:val="007D1FBD"/>
    <w:rsid w:val="007D47D7"/>
    <w:rsid w:val="007D4A5A"/>
    <w:rsid w:val="007D64DF"/>
    <w:rsid w:val="007D68B7"/>
    <w:rsid w:val="007E0EF3"/>
    <w:rsid w:val="007E3487"/>
    <w:rsid w:val="007E3A0F"/>
    <w:rsid w:val="007E4852"/>
    <w:rsid w:val="007E53CB"/>
    <w:rsid w:val="007E7AA3"/>
    <w:rsid w:val="007E7EB7"/>
    <w:rsid w:val="007F03C2"/>
    <w:rsid w:val="007F249A"/>
    <w:rsid w:val="007F6B07"/>
    <w:rsid w:val="007F7596"/>
    <w:rsid w:val="00802527"/>
    <w:rsid w:val="00803CBA"/>
    <w:rsid w:val="008052A6"/>
    <w:rsid w:val="00807B9A"/>
    <w:rsid w:val="00807D2A"/>
    <w:rsid w:val="00810C50"/>
    <w:rsid w:val="00814B20"/>
    <w:rsid w:val="00816171"/>
    <w:rsid w:val="00816F45"/>
    <w:rsid w:val="008238A3"/>
    <w:rsid w:val="008259DC"/>
    <w:rsid w:val="00825F06"/>
    <w:rsid w:val="008262E8"/>
    <w:rsid w:val="00826FAD"/>
    <w:rsid w:val="00830A64"/>
    <w:rsid w:val="00830DEF"/>
    <w:rsid w:val="00830E8D"/>
    <w:rsid w:val="008315C9"/>
    <w:rsid w:val="00832EC0"/>
    <w:rsid w:val="00834C5A"/>
    <w:rsid w:val="00834E43"/>
    <w:rsid w:val="00836D93"/>
    <w:rsid w:val="008407EA"/>
    <w:rsid w:val="008457CB"/>
    <w:rsid w:val="008525F1"/>
    <w:rsid w:val="00854226"/>
    <w:rsid w:val="00854642"/>
    <w:rsid w:val="00856728"/>
    <w:rsid w:val="008639DE"/>
    <w:rsid w:val="0086738D"/>
    <w:rsid w:val="00870F42"/>
    <w:rsid w:val="00871CEE"/>
    <w:rsid w:val="00875592"/>
    <w:rsid w:val="0087712B"/>
    <w:rsid w:val="0088096C"/>
    <w:rsid w:val="008812CD"/>
    <w:rsid w:val="00881A33"/>
    <w:rsid w:val="008852BD"/>
    <w:rsid w:val="008857C2"/>
    <w:rsid w:val="00886C79"/>
    <w:rsid w:val="00893CCC"/>
    <w:rsid w:val="008958B1"/>
    <w:rsid w:val="00895F14"/>
    <w:rsid w:val="0089696C"/>
    <w:rsid w:val="008A5844"/>
    <w:rsid w:val="008B0BAE"/>
    <w:rsid w:val="008B1D6F"/>
    <w:rsid w:val="008B41F6"/>
    <w:rsid w:val="008B549A"/>
    <w:rsid w:val="008B54D0"/>
    <w:rsid w:val="008C0350"/>
    <w:rsid w:val="008C18A3"/>
    <w:rsid w:val="008C4DC3"/>
    <w:rsid w:val="008C6837"/>
    <w:rsid w:val="008C6CE5"/>
    <w:rsid w:val="008D0DC7"/>
    <w:rsid w:val="008D447E"/>
    <w:rsid w:val="008E1A7B"/>
    <w:rsid w:val="008E29A3"/>
    <w:rsid w:val="008E4326"/>
    <w:rsid w:val="008E4EA2"/>
    <w:rsid w:val="008E50BE"/>
    <w:rsid w:val="008E658B"/>
    <w:rsid w:val="008F013B"/>
    <w:rsid w:val="008F01AF"/>
    <w:rsid w:val="008F01CD"/>
    <w:rsid w:val="008F0CBF"/>
    <w:rsid w:val="008F159A"/>
    <w:rsid w:val="008F3AC2"/>
    <w:rsid w:val="008F636F"/>
    <w:rsid w:val="008F638C"/>
    <w:rsid w:val="008F75F5"/>
    <w:rsid w:val="009002FE"/>
    <w:rsid w:val="009005B3"/>
    <w:rsid w:val="00900F52"/>
    <w:rsid w:val="009025AB"/>
    <w:rsid w:val="00902ED0"/>
    <w:rsid w:val="009066F1"/>
    <w:rsid w:val="00906B7E"/>
    <w:rsid w:val="00912F4B"/>
    <w:rsid w:val="00913585"/>
    <w:rsid w:val="00917FAD"/>
    <w:rsid w:val="009200D6"/>
    <w:rsid w:val="0092757D"/>
    <w:rsid w:val="00931509"/>
    <w:rsid w:val="009319C2"/>
    <w:rsid w:val="0093403B"/>
    <w:rsid w:val="00935406"/>
    <w:rsid w:val="00936079"/>
    <w:rsid w:val="00937F61"/>
    <w:rsid w:val="0094124D"/>
    <w:rsid w:val="00943F77"/>
    <w:rsid w:val="00946450"/>
    <w:rsid w:val="009466E0"/>
    <w:rsid w:val="00952A28"/>
    <w:rsid w:val="009543CA"/>
    <w:rsid w:val="00955192"/>
    <w:rsid w:val="0095556A"/>
    <w:rsid w:val="009606C6"/>
    <w:rsid w:val="009624DA"/>
    <w:rsid w:val="00963CA6"/>
    <w:rsid w:val="009657F7"/>
    <w:rsid w:val="00970C3F"/>
    <w:rsid w:val="00974337"/>
    <w:rsid w:val="00974A13"/>
    <w:rsid w:val="00980239"/>
    <w:rsid w:val="0098040C"/>
    <w:rsid w:val="00984E2A"/>
    <w:rsid w:val="00991FC0"/>
    <w:rsid w:val="009968AA"/>
    <w:rsid w:val="00997062"/>
    <w:rsid w:val="009A07FC"/>
    <w:rsid w:val="009A12CF"/>
    <w:rsid w:val="009A12FE"/>
    <w:rsid w:val="009A39BE"/>
    <w:rsid w:val="009A3F98"/>
    <w:rsid w:val="009A5680"/>
    <w:rsid w:val="009A5B95"/>
    <w:rsid w:val="009B1120"/>
    <w:rsid w:val="009B4209"/>
    <w:rsid w:val="009B52D2"/>
    <w:rsid w:val="009B646D"/>
    <w:rsid w:val="009B677F"/>
    <w:rsid w:val="009B750A"/>
    <w:rsid w:val="009B7817"/>
    <w:rsid w:val="009C3B94"/>
    <w:rsid w:val="009D07B8"/>
    <w:rsid w:val="009D0A95"/>
    <w:rsid w:val="009D602C"/>
    <w:rsid w:val="009E0AD0"/>
    <w:rsid w:val="009E21B2"/>
    <w:rsid w:val="009E600F"/>
    <w:rsid w:val="009E67C2"/>
    <w:rsid w:val="009F06CF"/>
    <w:rsid w:val="009F2B0A"/>
    <w:rsid w:val="009F2F4C"/>
    <w:rsid w:val="009F3DBD"/>
    <w:rsid w:val="00A023EF"/>
    <w:rsid w:val="00A04A29"/>
    <w:rsid w:val="00A05417"/>
    <w:rsid w:val="00A0609C"/>
    <w:rsid w:val="00A11876"/>
    <w:rsid w:val="00A2641C"/>
    <w:rsid w:val="00A26FB5"/>
    <w:rsid w:val="00A27DB9"/>
    <w:rsid w:val="00A30E4F"/>
    <w:rsid w:val="00A323FC"/>
    <w:rsid w:val="00A35382"/>
    <w:rsid w:val="00A36252"/>
    <w:rsid w:val="00A363AD"/>
    <w:rsid w:val="00A37C32"/>
    <w:rsid w:val="00A37FBE"/>
    <w:rsid w:val="00A4281B"/>
    <w:rsid w:val="00A439F3"/>
    <w:rsid w:val="00A444CA"/>
    <w:rsid w:val="00A4742E"/>
    <w:rsid w:val="00A5316F"/>
    <w:rsid w:val="00A54118"/>
    <w:rsid w:val="00A54E17"/>
    <w:rsid w:val="00A5636A"/>
    <w:rsid w:val="00A57D2A"/>
    <w:rsid w:val="00A600F5"/>
    <w:rsid w:val="00A60E74"/>
    <w:rsid w:val="00A61A30"/>
    <w:rsid w:val="00A6420E"/>
    <w:rsid w:val="00A6631E"/>
    <w:rsid w:val="00A665F2"/>
    <w:rsid w:val="00A66CDA"/>
    <w:rsid w:val="00A70C81"/>
    <w:rsid w:val="00A71777"/>
    <w:rsid w:val="00A724C5"/>
    <w:rsid w:val="00A760A1"/>
    <w:rsid w:val="00A77CB6"/>
    <w:rsid w:val="00A77CE6"/>
    <w:rsid w:val="00A812D9"/>
    <w:rsid w:val="00A85D1E"/>
    <w:rsid w:val="00A864AB"/>
    <w:rsid w:val="00A87E80"/>
    <w:rsid w:val="00A90247"/>
    <w:rsid w:val="00A9055F"/>
    <w:rsid w:val="00A90FDD"/>
    <w:rsid w:val="00A91E1B"/>
    <w:rsid w:val="00A93B64"/>
    <w:rsid w:val="00AA0AFC"/>
    <w:rsid w:val="00AA2DED"/>
    <w:rsid w:val="00AA39DF"/>
    <w:rsid w:val="00AA772A"/>
    <w:rsid w:val="00AB07A2"/>
    <w:rsid w:val="00AB1B9F"/>
    <w:rsid w:val="00AB4F8C"/>
    <w:rsid w:val="00AB6229"/>
    <w:rsid w:val="00AB6247"/>
    <w:rsid w:val="00AC305E"/>
    <w:rsid w:val="00AC36B3"/>
    <w:rsid w:val="00AC75FE"/>
    <w:rsid w:val="00AD0518"/>
    <w:rsid w:val="00AD4484"/>
    <w:rsid w:val="00AD57ED"/>
    <w:rsid w:val="00AD612F"/>
    <w:rsid w:val="00AE4C64"/>
    <w:rsid w:val="00AE656B"/>
    <w:rsid w:val="00AF0DD6"/>
    <w:rsid w:val="00AF136F"/>
    <w:rsid w:val="00AF7DE2"/>
    <w:rsid w:val="00B0224B"/>
    <w:rsid w:val="00B02FD8"/>
    <w:rsid w:val="00B039CC"/>
    <w:rsid w:val="00B04CB9"/>
    <w:rsid w:val="00B0639F"/>
    <w:rsid w:val="00B169CF"/>
    <w:rsid w:val="00B21E5A"/>
    <w:rsid w:val="00B243A1"/>
    <w:rsid w:val="00B24E9E"/>
    <w:rsid w:val="00B2563D"/>
    <w:rsid w:val="00B265A6"/>
    <w:rsid w:val="00B3209A"/>
    <w:rsid w:val="00B362A3"/>
    <w:rsid w:val="00B37B8E"/>
    <w:rsid w:val="00B37BBC"/>
    <w:rsid w:val="00B43D06"/>
    <w:rsid w:val="00B43FC2"/>
    <w:rsid w:val="00B44EC4"/>
    <w:rsid w:val="00B46926"/>
    <w:rsid w:val="00B46A57"/>
    <w:rsid w:val="00B47C3D"/>
    <w:rsid w:val="00B50D6F"/>
    <w:rsid w:val="00B55FA1"/>
    <w:rsid w:val="00B57150"/>
    <w:rsid w:val="00B605EA"/>
    <w:rsid w:val="00B639BA"/>
    <w:rsid w:val="00B63B00"/>
    <w:rsid w:val="00B65CAA"/>
    <w:rsid w:val="00B72751"/>
    <w:rsid w:val="00B72818"/>
    <w:rsid w:val="00B74446"/>
    <w:rsid w:val="00B80AA2"/>
    <w:rsid w:val="00B81CAA"/>
    <w:rsid w:val="00B828CA"/>
    <w:rsid w:val="00B8622A"/>
    <w:rsid w:val="00B903BE"/>
    <w:rsid w:val="00B905F0"/>
    <w:rsid w:val="00B90C79"/>
    <w:rsid w:val="00B91011"/>
    <w:rsid w:val="00B9641A"/>
    <w:rsid w:val="00B96AC5"/>
    <w:rsid w:val="00B96EFD"/>
    <w:rsid w:val="00BA0088"/>
    <w:rsid w:val="00BA0128"/>
    <w:rsid w:val="00BA285F"/>
    <w:rsid w:val="00BA2F54"/>
    <w:rsid w:val="00BA365B"/>
    <w:rsid w:val="00BB07EB"/>
    <w:rsid w:val="00BB3CE1"/>
    <w:rsid w:val="00BB562E"/>
    <w:rsid w:val="00BB6CC3"/>
    <w:rsid w:val="00BC1739"/>
    <w:rsid w:val="00BC1955"/>
    <w:rsid w:val="00BC2464"/>
    <w:rsid w:val="00BC335E"/>
    <w:rsid w:val="00BC4803"/>
    <w:rsid w:val="00BC4FF9"/>
    <w:rsid w:val="00BC5061"/>
    <w:rsid w:val="00BD0040"/>
    <w:rsid w:val="00BD0719"/>
    <w:rsid w:val="00BD1C09"/>
    <w:rsid w:val="00BD2939"/>
    <w:rsid w:val="00BD6788"/>
    <w:rsid w:val="00BE276F"/>
    <w:rsid w:val="00BE6E19"/>
    <w:rsid w:val="00BE7E9E"/>
    <w:rsid w:val="00C010D5"/>
    <w:rsid w:val="00C02BF0"/>
    <w:rsid w:val="00C0448B"/>
    <w:rsid w:val="00C04C8C"/>
    <w:rsid w:val="00C05378"/>
    <w:rsid w:val="00C110A0"/>
    <w:rsid w:val="00C128E5"/>
    <w:rsid w:val="00C13742"/>
    <w:rsid w:val="00C15D5E"/>
    <w:rsid w:val="00C17144"/>
    <w:rsid w:val="00C22391"/>
    <w:rsid w:val="00C23814"/>
    <w:rsid w:val="00C254F8"/>
    <w:rsid w:val="00C3228F"/>
    <w:rsid w:val="00C333D1"/>
    <w:rsid w:val="00C337F1"/>
    <w:rsid w:val="00C33E18"/>
    <w:rsid w:val="00C35C2E"/>
    <w:rsid w:val="00C36099"/>
    <w:rsid w:val="00C36F1D"/>
    <w:rsid w:val="00C36F26"/>
    <w:rsid w:val="00C37FE4"/>
    <w:rsid w:val="00C408D4"/>
    <w:rsid w:val="00C413F1"/>
    <w:rsid w:val="00C426DA"/>
    <w:rsid w:val="00C426EE"/>
    <w:rsid w:val="00C4506B"/>
    <w:rsid w:val="00C470D8"/>
    <w:rsid w:val="00C47811"/>
    <w:rsid w:val="00C5183E"/>
    <w:rsid w:val="00C62C73"/>
    <w:rsid w:val="00C63957"/>
    <w:rsid w:val="00C73A1B"/>
    <w:rsid w:val="00C805A2"/>
    <w:rsid w:val="00C807F1"/>
    <w:rsid w:val="00C82B20"/>
    <w:rsid w:val="00C832C9"/>
    <w:rsid w:val="00C92408"/>
    <w:rsid w:val="00C95732"/>
    <w:rsid w:val="00C95AC4"/>
    <w:rsid w:val="00C97E73"/>
    <w:rsid w:val="00CA0301"/>
    <w:rsid w:val="00CA0A65"/>
    <w:rsid w:val="00CA1DF4"/>
    <w:rsid w:val="00CA3D6D"/>
    <w:rsid w:val="00CB06ED"/>
    <w:rsid w:val="00CB0FDE"/>
    <w:rsid w:val="00CB15BA"/>
    <w:rsid w:val="00CB2194"/>
    <w:rsid w:val="00CB270E"/>
    <w:rsid w:val="00CB39F4"/>
    <w:rsid w:val="00CB4E2F"/>
    <w:rsid w:val="00CB6E78"/>
    <w:rsid w:val="00CC2698"/>
    <w:rsid w:val="00CC2880"/>
    <w:rsid w:val="00CD1695"/>
    <w:rsid w:val="00CD1A0F"/>
    <w:rsid w:val="00CD240B"/>
    <w:rsid w:val="00CD5C02"/>
    <w:rsid w:val="00CE4BB8"/>
    <w:rsid w:val="00CE504B"/>
    <w:rsid w:val="00CE6000"/>
    <w:rsid w:val="00CF0701"/>
    <w:rsid w:val="00CF7034"/>
    <w:rsid w:val="00CF7777"/>
    <w:rsid w:val="00D02ADF"/>
    <w:rsid w:val="00D02BD0"/>
    <w:rsid w:val="00D04D46"/>
    <w:rsid w:val="00D11D99"/>
    <w:rsid w:val="00D121C0"/>
    <w:rsid w:val="00D13F53"/>
    <w:rsid w:val="00D14421"/>
    <w:rsid w:val="00D1681B"/>
    <w:rsid w:val="00D21B2C"/>
    <w:rsid w:val="00D253A1"/>
    <w:rsid w:val="00D27C2B"/>
    <w:rsid w:val="00D27F68"/>
    <w:rsid w:val="00D34F9F"/>
    <w:rsid w:val="00D35BA0"/>
    <w:rsid w:val="00D376C8"/>
    <w:rsid w:val="00D412F4"/>
    <w:rsid w:val="00D4181B"/>
    <w:rsid w:val="00D421AE"/>
    <w:rsid w:val="00D42F12"/>
    <w:rsid w:val="00D4521A"/>
    <w:rsid w:val="00D475EE"/>
    <w:rsid w:val="00D5203D"/>
    <w:rsid w:val="00D521D2"/>
    <w:rsid w:val="00D52B57"/>
    <w:rsid w:val="00D55837"/>
    <w:rsid w:val="00D578D0"/>
    <w:rsid w:val="00D64864"/>
    <w:rsid w:val="00D67887"/>
    <w:rsid w:val="00D707C1"/>
    <w:rsid w:val="00D744C8"/>
    <w:rsid w:val="00D7657B"/>
    <w:rsid w:val="00D81372"/>
    <w:rsid w:val="00D827E7"/>
    <w:rsid w:val="00D852A7"/>
    <w:rsid w:val="00D86332"/>
    <w:rsid w:val="00D9146C"/>
    <w:rsid w:val="00D966F5"/>
    <w:rsid w:val="00DA2DCC"/>
    <w:rsid w:val="00DA742D"/>
    <w:rsid w:val="00DA750B"/>
    <w:rsid w:val="00DA7FB0"/>
    <w:rsid w:val="00DB0197"/>
    <w:rsid w:val="00DB1EC6"/>
    <w:rsid w:val="00DB263F"/>
    <w:rsid w:val="00DB447A"/>
    <w:rsid w:val="00DB51BA"/>
    <w:rsid w:val="00DB67B6"/>
    <w:rsid w:val="00DC1BB9"/>
    <w:rsid w:val="00DC3743"/>
    <w:rsid w:val="00DC3FC1"/>
    <w:rsid w:val="00DC5E88"/>
    <w:rsid w:val="00DC610C"/>
    <w:rsid w:val="00DC6330"/>
    <w:rsid w:val="00DC7FC4"/>
    <w:rsid w:val="00DD1523"/>
    <w:rsid w:val="00DD4011"/>
    <w:rsid w:val="00DD42FD"/>
    <w:rsid w:val="00DD442F"/>
    <w:rsid w:val="00DD4BB6"/>
    <w:rsid w:val="00DE009B"/>
    <w:rsid w:val="00DE24A4"/>
    <w:rsid w:val="00DE3879"/>
    <w:rsid w:val="00DE52C4"/>
    <w:rsid w:val="00DE53B5"/>
    <w:rsid w:val="00DF7F69"/>
    <w:rsid w:val="00E10CF8"/>
    <w:rsid w:val="00E1333B"/>
    <w:rsid w:val="00E2044D"/>
    <w:rsid w:val="00E22294"/>
    <w:rsid w:val="00E24ACF"/>
    <w:rsid w:val="00E25FEF"/>
    <w:rsid w:val="00E2760C"/>
    <w:rsid w:val="00E349CD"/>
    <w:rsid w:val="00E34F87"/>
    <w:rsid w:val="00E35C19"/>
    <w:rsid w:val="00E363E2"/>
    <w:rsid w:val="00E37048"/>
    <w:rsid w:val="00E3775E"/>
    <w:rsid w:val="00E37FD3"/>
    <w:rsid w:val="00E425EC"/>
    <w:rsid w:val="00E50B12"/>
    <w:rsid w:val="00E5103B"/>
    <w:rsid w:val="00E521AE"/>
    <w:rsid w:val="00E57ED7"/>
    <w:rsid w:val="00E63FB1"/>
    <w:rsid w:val="00E67A90"/>
    <w:rsid w:val="00E7137D"/>
    <w:rsid w:val="00E72040"/>
    <w:rsid w:val="00E80FBB"/>
    <w:rsid w:val="00E81D4B"/>
    <w:rsid w:val="00E8320D"/>
    <w:rsid w:val="00E8330A"/>
    <w:rsid w:val="00E849B0"/>
    <w:rsid w:val="00E86504"/>
    <w:rsid w:val="00E86FE5"/>
    <w:rsid w:val="00E90805"/>
    <w:rsid w:val="00E95E48"/>
    <w:rsid w:val="00E9653A"/>
    <w:rsid w:val="00EA19E9"/>
    <w:rsid w:val="00EA4498"/>
    <w:rsid w:val="00EB0FAE"/>
    <w:rsid w:val="00EB3BF2"/>
    <w:rsid w:val="00EB4CD7"/>
    <w:rsid w:val="00EB7B96"/>
    <w:rsid w:val="00EC1A54"/>
    <w:rsid w:val="00EC462A"/>
    <w:rsid w:val="00EC500C"/>
    <w:rsid w:val="00EC67F2"/>
    <w:rsid w:val="00EC7781"/>
    <w:rsid w:val="00EC7ABF"/>
    <w:rsid w:val="00EC7E3B"/>
    <w:rsid w:val="00ED1701"/>
    <w:rsid w:val="00ED2A4E"/>
    <w:rsid w:val="00ED44A8"/>
    <w:rsid w:val="00ED5E5E"/>
    <w:rsid w:val="00ED6198"/>
    <w:rsid w:val="00ED7A06"/>
    <w:rsid w:val="00ED7D00"/>
    <w:rsid w:val="00ED7F20"/>
    <w:rsid w:val="00EE06F4"/>
    <w:rsid w:val="00EE2D3A"/>
    <w:rsid w:val="00EE5882"/>
    <w:rsid w:val="00EF01AB"/>
    <w:rsid w:val="00EF4DEF"/>
    <w:rsid w:val="00EF5D9B"/>
    <w:rsid w:val="00F02151"/>
    <w:rsid w:val="00F0242E"/>
    <w:rsid w:val="00F0433E"/>
    <w:rsid w:val="00F078A5"/>
    <w:rsid w:val="00F14C74"/>
    <w:rsid w:val="00F15000"/>
    <w:rsid w:val="00F164CA"/>
    <w:rsid w:val="00F16D5F"/>
    <w:rsid w:val="00F20EFF"/>
    <w:rsid w:val="00F24BC8"/>
    <w:rsid w:val="00F25A94"/>
    <w:rsid w:val="00F261D8"/>
    <w:rsid w:val="00F3154C"/>
    <w:rsid w:val="00F31F15"/>
    <w:rsid w:val="00F31F29"/>
    <w:rsid w:val="00F32E25"/>
    <w:rsid w:val="00F35902"/>
    <w:rsid w:val="00F36702"/>
    <w:rsid w:val="00F4040B"/>
    <w:rsid w:val="00F42CAC"/>
    <w:rsid w:val="00F454DA"/>
    <w:rsid w:val="00F45A69"/>
    <w:rsid w:val="00F46A5D"/>
    <w:rsid w:val="00F4738C"/>
    <w:rsid w:val="00F500CB"/>
    <w:rsid w:val="00F50E73"/>
    <w:rsid w:val="00F5218F"/>
    <w:rsid w:val="00F5660C"/>
    <w:rsid w:val="00F56DD3"/>
    <w:rsid w:val="00F653EC"/>
    <w:rsid w:val="00F672C1"/>
    <w:rsid w:val="00F6776B"/>
    <w:rsid w:val="00F83A3D"/>
    <w:rsid w:val="00F912D5"/>
    <w:rsid w:val="00F931C2"/>
    <w:rsid w:val="00F943A6"/>
    <w:rsid w:val="00FA221C"/>
    <w:rsid w:val="00FB483B"/>
    <w:rsid w:val="00FC1C65"/>
    <w:rsid w:val="00FC24D2"/>
    <w:rsid w:val="00FC325E"/>
    <w:rsid w:val="00FC4A95"/>
    <w:rsid w:val="00FC5F0E"/>
    <w:rsid w:val="00FD2920"/>
    <w:rsid w:val="00FD39B3"/>
    <w:rsid w:val="00FD6E7E"/>
    <w:rsid w:val="00FE0A9F"/>
    <w:rsid w:val="00FE0BDC"/>
    <w:rsid w:val="00FE385C"/>
    <w:rsid w:val="00FF1962"/>
    <w:rsid w:val="00FF407F"/>
    <w:rsid w:val="00FF61A0"/>
    <w:rsid w:val="00FF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113665"/>
    <o:shapelayout v:ext="edit">
      <o:idmap v:ext="edit" data="1"/>
    </o:shapelayout>
  </w:shapeDefaults>
  <w:decimalSymbol w:val="."/>
  <w:listSeparator w:val=","/>
  <w14:docId w14:val="36C5C400"/>
  <w15:chartTrackingRefBased/>
  <w15:docId w15:val="{685AF8C9-9C24-4FE3-8A97-C18895DD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16F"/>
    <w:pPr>
      <w:autoSpaceDE w:val="0"/>
      <w:autoSpaceDN w:val="0"/>
      <w:adjustRightInd w:val="0"/>
    </w:pPr>
    <w:rPr>
      <w:rFonts w:cs="Arial"/>
    </w:rPr>
  </w:style>
  <w:style w:type="paragraph" w:styleId="Heading2">
    <w:name w:val="heading 2"/>
    <w:basedOn w:val="Normal"/>
    <w:next w:val="Normal"/>
    <w:link w:val="Heading2Char"/>
    <w:semiHidden/>
    <w:unhideWhenUsed/>
    <w:qFormat/>
    <w:rsid w:val="00CC2698"/>
    <w:pPr>
      <w:keepNext/>
      <w:spacing w:before="240" w:after="60"/>
      <w:outlineLvl w:val="1"/>
    </w:pPr>
    <w:rPr>
      <w:rFonts w:ascii="Cambria" w:hAnsi="Cambria" w:cs="Times New Roman"/>
      <w:b/>
      <w:bCs/>
      <w:i/>
      <w:iCs/>
      <w:sz w:val="28"/>
      <w:szCs w:val="28"/>
    </w:rPr>
  </w:style>
  <w:style w:type="paragraph" w:styleId="Heading3">
    <w:name w:val="heading 3"/>
    <w:basedOn w:val="Normal"/>
    <w:link w:val="Heading3Char"/>
    <w:uiPriority w:val="9"/>
    <w:qFormat/>
    <w:rsid w:val="00ED7D00"/>
    <w:pPr>
      <w:autoSpaceDE/>
      <w:autoSpaceDN/>
      <w:adjustRightInd/>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EE2D3A"/>
    <w:rPr>
      <w:color w:val="0000FF"/>
      <w:u w:val="single"/>
    </w:rPr>
  </w:style>
  <w:style w:type="paragraph" w:styleId="BalloonText">
    <w:name w:val="Balloon Text"/>
    <w:basedOn w:val="Normal"/>
    <w:link w:val="BalloonTextChar"/>
    <w:rsid w:val="00EE2D3A"/>
    <w:rPr>
      <w:rFonts w:ascii="Tahoma" w:hAnsi="Tahoma" w:cs="Tahoma"/>
      <w:sz w:val="16"/>
      <w:szCs w:val="16"/>
    </w:rPr>
  </w:style>
  <w:style w:type="character" w:customStyle="1" w:styleId="BalloonTextChar">
    <w:name w:val="Balloon Text Char"/>
    <w:link w:val="BalloonText"/>
    <w:rsid w:val="00EE2D3A"/>
    <w:rPr>
      <w:rFonts w:ascii="Tahoma" w:hAnsi="Tahoma" w:cs="Tahoma"/>
      <w:sz w:val="16"/>
      <w:szCs w:val="16"/>
    </w:rPr>
  </w:style>
  <w:style w:type="table" w:styleId="TableGrid">
    <w:name w:val="Table Grid"/>
    <w:basedOn w:val="TableNormal"/>
    <w:uiPriority w:val="59"/>
    <w:rsid w:val="00DC610C"/>
    <w:pPr>
      <w:jc w:val="both"/>
    </w:pPr>
    <w:rPr>
      <w:rFonts w:ascii="Calibri" w:eastAsia="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DC610C"/>
    <w:rPr>
      <w:color w:val="0000FF"/>
      <w:u w:val="single"/>
    </w:rPr>
  </w:style>
  <w:style w:type="paragraph" w:styleId="Header">
    <w:name w:val="header"/>
    <w:basedOn w:val="Normal"/>
    <w:link w:val="HeaderChar"/>
    <w:rsid w:val="00DC610C"/>
    <w:pPr>
      <w:tabs>
        <w:tab w:val="center" w:pos="4680"/>
        <w:tab w:val="right" w:pos="9360"/>
      </w:tabs>
    </w:pPr>
  </w:style>
  <w:style w:type="character" w:customStyle="1" w:styleId="HeaderChar">
    <w:name w:val="Header Char"/>
    <w:link w:val="Header"/>
    <w:rsid w:val="00DC610C"/>
    <w:rPr>
      <w:rFonts w:cs="Arial"/>
    </w:rPr>
  </w:style>
  <w:style w:type="paragraph" w:styleId="Footer">
    <w:name w:val="footer"/>
    <w:basedOn w:val="Normal"/>
    <w:link w:val="FooterChar"/>
    <w:rsid w:val="00DC610C"/>
    <w:pPr>
      <w:tabs>
        <w:tab w:val="center" w:pos="4680"/>
        <w:tab w:val="right" w:pos="9360"/>
      </w:tabs>
    </w:pPr>
  </w:style>
  <w:style w:type="character" w:customStyle="1" w:styleId="FooterChar">
    <w:name w:val="Footer Char"/>
    <w:link w:val="Footer"/>
    <w:rsid w:val="00DC610C"/>
    <w:rPr>
      <w:rFonts w:cs="Arial"/>
    </w:rPr>
  </w:style>
  <w:style w:type="character" w:customStyle="1" w:styleId="documentbody1">
    <w:name w:val="documentbody1"/>
    <w:rsid w:val="00935406"/>
    <w:rPr>
      <w:rFonts w:ascii="Verdana" w:hAnsi="Verdana" w:hint="default"/>
      <w:sz w:val="19"/>
      <w:szCs w:val="19"/>
    </w:rPr>
  </w:style>
  <w:style w:type="paragraph" w:styleId="FootnoteText">
    <w:name w:val="footnote text"/>
    <w:basedOn w:val="Normal"/>
    <w:link w:val="FootnoteTextChar"/>
    <w:rsid w:val="00935406"/>
    <w:pPr>
      <w:autoSpaceDE/>
      <w:autoSpaceDN/>
      <w:adjustRightInd/>
    </w:pPr>
    <w:rPr>
      <w:rFonts w:ascii="Times New Roman" w:hAnsi="Times New Roman" w:cs="Times New Roman"/>
    </w:rPr>
  </w:style>
  <w:style w:type="character" w:customStyle="1" w:styleId="FootnoteTextChar">
    <w:name w:val="Footnote Text Char"/>
    <w:link w:val="FootnoteText"/>
    <w:rsid w:val="00935406"/>
    <w:rPr>
      <w:rFonts w:ascii="Times New Roman" w:hAnsi="Times New Roman"/>
    </w:rPr>
  </w:style>
  <w:style w:type="character" w:styleId="FootnoteReference">
    <w:name w:val="footnote reference"/>
    <w:rsid w:val="00935406"/>
    <w:rPr>
      <w:vertAlign w:val="superscript"/>
    </w:rPr>
  </w:style>
  <w:style w:type="character" w:customStyle="1" w:styleId="starpage1">
    <w:name w:val="starpage1"/>
    <w:rsid w:val="00935406"/>
    <w:rPr>
      <w:b/>
      <w:bCs/>
      <w:i/>
      <w:iCs/>
      <w:color w:val="800080"/>
    </w:rPr>
  </w:style>
  <w:style w:type="character" w:customStyle="1" w:styleId="searchterm1">
    <w:name w:val="searchterm1"/>
    <w:rsid w:val="00935406"/>
    <w:rPr>
      <w:b/>
      <w:bCs/>
      <w:shd w:val="clear" w:color="auto" w:fill="FFFF00"/>
    </w:rPr>
  </w:style>
  <w:style w:type="character" w:customStyle="1" w:styleId="groupheading1">
    <w:name w:val="groupheading1"/>
    <w:rsid w:val="00935406"/>
    <w:rPr>
      <w:rFonts w:ascii="Verdana" w:hAnsi="Verdana" w:hint="default"/>
      <w:b/>
      <w:bCs/>
      <w:sz w:val="19"/>
      <w:szCs w:val="19"/>
    </w:rPr>
  </w:style>
  <w:style w:type="character" w:customStyle="1" w:styleId="informationalsmall1">
    <w:name w:val="informationalsmall1"/>
    <w:rsid w:val="00935406"/>
    <w:rPr>
      <w:rFonts w:ascii="Verdana" w:hAnsi="Verdana" w:hint="default"/>
      <w:sz w:val="14"/>
      <w:szCs w:val="14"/>
    </w:rPr>
  </w:style>
  <w:style w:type="character" w:customStyle="1" w:styleId="bestsection1">
    <w:name w:val="bestsection1"/>
    <w:rsid w:val="00935406"/>
    <w:rPr>
      <w:color w:val="FF0000"/>
    </w:rPr>
  </w:style>
  <w:style w:type="character" w:styleId="PageNumber">
    <w:name w:val="page number"/>
    <w:rsid w:val="00935406"/>
  </w:style>
  <w:style w:type="paragraph" w:styleId="NormalWeb">
    <w:name w:val="Normal (Web)"/>
    <w:basedOn w:val="Normal"/>
    <w:rsid w:val="00935406"/>
    <w:pPr>
      <w:autoSpaceDE/>
      <w:autoSpaceDN/>
      <w:adjustRightInd/>
    </w:pPr>
    <w:rPr>
      <w:rFonts w:ascii="Times New Roman" w:hAnsi="Times New Roman" w:cs="Times New Roman"/>
      <w:sz w:val="24"/>
      <w:szCs w:val="24"/>
    </w:rPr>
  </w:style>
  <w:style w:type="paragraph" w:styleId="PlainText">
    <w:name w:val="Plain Text"/>
    <w:basedOn w:val="Normal"/>
    <w:link w:val="PlainTextChar"/>
    <w:uiPriority w:val="99"/>
    <w:unhideWhenUsed/>
    <w:rsid w:val="00935406"/>
    <w:pPr>
      <w:autoSpaceDE/>
      <w:autoSpaceDN/>
      <w:adjustRightInd/>
    </w:pPr>
    <w:rPr>
      <w:rFonts w:ascii="Consolas" w:eastAsia="Calibri" w:hAnsi="Consolas" w:cs="Times New Roman"/>
      <w:sz w:val="21"/>
      <w:szCs w:val="21"/>
    </w:rPr>
  </w:style>
  <w:style w:type="character" w:customStyle="1" w:styleId="PlainTextChar">
    <w:name w:val="Plain Text Char"/>
    <w:link w:val="PlainText"/>
    <w:uiPriority w:val="99"/>
    <w:rsid w:val="00935406"/>
    <w:rPr>
      <w:rFonts w:ascii="Consolas" w:eastAsia="Calibri" w:hAnsi="Consolas"/>
      <w:sz w:val="21"/>
      <w:szCs w:val="21"/>
    </w:rPr>
  </w:style>
  <w:style w:type="character" w:styleId="Emphasis">
    <w:name w:val="Emphasis"/>
    <w:uiPriority w:val="99"/>
    <w:qFormat/>
    <w:rsid w:val="00935406"/>
    <w:rPr>
      <w:i/>
      <w:iCs/>
    </w:rPr>
  </w:style>
  <w:style w:type="character" w:customStyle="1" w:styleId="apple-converted-space">
    <w:name w:val="apple-converted-space"/>
    <w:rsid w:val="007C34CE"/>
  </w:style>
  <w:style w:type="character" w:customStyle="1" w:styleId="cosearchterm">
    <w:name w:val="co_searchterm"/>
    <w:rsid w:val="007C34CE"/>
  </w:style>
  <w:style w:type="character" w:customStyle="1" w:styleId="costarpage">
    <w:name w:val="co_starpage"/>
    <w:rsid w:val="00955192"/>
  </w:style>
  <w:style w:type="character" w:customStyle="1" w:styleId="counderline">
    <w:name w:val="co_underline"/>
    <w:rsid w:val="001F6F82"/>
  </w:style>
  <w:style w:type="character" w:styleId="FollowedHyperlink">
    <w:name w:val="FollowedHyperlink"/>
    <w:rsid w:val="004B2A67"/>
    <w:rPr>
      <w:color w:val="800080"/>
      <w:u w:val="single"/>
    </w:rPr>
  </w:style>
  <w:style w:type="character" w:customStyle="1" w:styleId="Heading3Char">
    <w:name w:val="Heading 3 Char"/>
    <w:link w:val="Heading3"/>
    <w:uiPriority w:val="9"/>
    <w:rsid w:val="00ED7D00"/>
    <w:rPr>
      <w:rFonts w:ascii="Times New Roman" w:hAnsi="Times New Roman"/>
      <w:b/>
      <w:bCs/>
      <w:sz w:val="27"/>
      <w:szCs w:val="27"/>
    </w:rPr>
  </w:style>
  <w:style w:type="character" w:customStyle="1" w:styleId="Heading2Char">
    <w:name w:val="Heading 2 Char"/>
    <w:link w:val="Heading2"/>
    <w:semiHidden/>
    <w:rsid w:val="00CC2698"/>
    <w:rPr>
      <w:rFonts w:ascii="Cambria" w:eastAsia="Times New Roman" w:hAnsi="Cambria" w:cs="Times New Roman"/>
      <w:b/>
      <w:bCs/>
      <w:i/>
      <w:iCs/>
      <w:sz w:val="28"/>
      <w:szCs w:val="28"/>
    </w:rPr>
  </w:style>
  <w:style w:type="paragraph" w:styleId="Revision">
    <w:name w:val="Revision"/>
    <w:hidden/>
    <w:uiPriority w:val="99"/>
    <w:semiHidden/>
    <w:rsid w:val="00BA2F54"/>
    <w:rPr>
      <w:rFonts w:cs="Arial"/>
    </w:rPr>
  </w:style>
  <w:style w:type="character" w:styleId="UnresolvedMention">
    <w:name w:val="Unresolved Mention"/>
    <w:basedOn w:val="DefaultParagraphFont"/>
    <w:uiPriority w:val="99"/>
    <w:semiHidden/>
    <w:unhideWhenUsed/>
    <w:rsid w:val="000F7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88909">
      <w:bodyDiv w:val="1"/>
      <w:marLeft w:val="0"/>
      <w:marRight w:val="0"/>
      <w:marTop w:val="0"/>
      <w:marBottom w:val="0"/>
      <w:divBdr>
        <w:top w:val="none" w:sz="0" w:space="0" w:color="auto"/>
        <w:left w:val="none" w:sz="0" w:space="0" w:color="auto"/>
        <w:bottom w:val="none" w:sz="0" w:space="0" w:color="auto"/>
        <w:right w:val="none" w:sz="0" w:space="0" w:color="auto"/>
      </w:divBdr>
      <w:divsChild>
        <w:div w:id="247889902">
          <w:marLeft w:val="0"/>
          <w:marRight w:val="0"/>
          <w:marTop w:val="0"/>
          <w:marBottom w:val="0"/>
          <w:divBdr>
            <w:top w:val="none" w:sz="0" w:space="0" w:color="auto"/>
            <w:left w:val="none" w:sz="0" w:space="0" w:color="auto"/>
            <w:bottom w:val="none" w:sz="0" w:space="0" w:color="auto"/>
            <w:right w:val="none" w:sz="0" w:space="0" w:color="auto"/>
          </w:divBdr>
          <w:divsChild>
            <w:div w:id="2269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1491">
      <w:bodyDiv w:val="1"/>
      <w:marLeft w:val="0"/>
      <w:marRight w:val="0"/>
      <w:marTop w:val="0"/>
      <w:marBottom w:val="0"/>
      <w:divBdr>
        <w:top w:val="none" w:sz="0" w:space="0" w:color="auto"/>
        <w:left w:val="none" w:sz="0" w:space="0" w:color="auto"/>
        <w:bottom w:val="none" w:sz="0" w:space="0" w:color="auto"/>
        <w:right w:val="none" w:sz="0" w:space="0" w:color="auto"/>
      </w:divBdr>
      <w:divsChild>
        <w:div w:id="360087464">
          <w:marLeft w:val="0"/>
          <w:marRight w:val="0"/>
          <w:marTop w:val="0"/>
          <w:marBottom w:val="0"/>
          <w:divBdr>
            <w:top w:val="none" w:sz="0" w:space="0" w:color="auto"/>
            <w:left w:val="none" w:sz="0" w:space="0" w:color="auto"/>
            <w:bottom w:val="none" w:sz="0" w:space="0" w:color="auto"/>
            <w:right w:val="none" w:sz="0" w:space="0" w:color="auto"/>
          </w:divBdr>
          <w:divsChild>
            <w:div w:id="1525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7400">
      <w:bodyDiv w:val="1"/>
      <w:marLeft w:val="0"/>
      <w:marRight w:val="0"/>
      <w:marTop w:val="0"/>
      <w:marBottom w:val="0"/>
      <w:divBdr>
        <w:top w:val="none" w:sz="0" w:space="0" w:color="auto"/>
        <w:left w:val="none" w:sz="0" w:space="0" w:color="auto"/>
        <w:bottom w:val="none" w:sz="0" w:space="0" w:color="auto"/>
        <w:right w:val="none" w:sz="0" w:space="0" w:color="auto"/>
      </w:divBdr>
    </w:div>
    <w:div w:id="129710989">
      <w:bodyDiv w:val="1"/>
      <w:marLeft w:val="0"/>
      <w:marRight w:val="0"/>
      <w:marTop w:val="0"/>
      <w:marBottom w:val="0"/>
      <w:divBdr>
        <w:top w:val="none" w:sz="0" w:space="0" w:color="auto"/>
        <w:left w:val="none" w:sz="0" w:space="0" w:color="auto"/>
        <w:bottom w:val="none" w:sz="0" w:space="0" w:color="auto"/>
        <w:right w:val="none" w:sz="0" w:space="0" w:color="auto"/>
      </w:divBdr>
      <w:divsChild>
        <w:div w:id="339505076">
          <w:marLeft w:val="0"/>
          <w:marRight w:val="0"/>
          <w:marTop w:val="0"/>
          <w:marBottom w:val="0"/>
          <w:divBdr>
            <w:top w:val="none" w:sz="0" w:space="0" w:color="auto"/>
            <w:left w:val="none" w:sz="0" w:space="0" w:color="auto"/>
            <w:bottom w:val="none" w:sz="0" w:space="0" w:color="auto"/>
            <w:right w:val="none" w:sz="0" w:space="0" w:color="auto"/>
          </w:divBdr>
          <w:divsChild>
            <w:div w:id="9377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045">
      <w:bodyDiv w:val="1"/>
      <w:marLeft w:val="0"/>
      <w:marRight w:val="0"/>
      <w:marTop w:val="0"/>
      <w:marBottom w:val="0"/>
      <w:divBdr>
        <w:top w:val="none" w:sz="0" w:space="0" w:color="auto"/>
        <w:left w:val="none" w:sz="0" w:space="0" w:color="auto"/>
        <w:bottom w:val="none" w:sz="0" w:space="0" w:color="auto"/>
        <w:right w:val="none" w:sz="0" w:space="0" w:color="auto"/>
      </w:divBdr>
    </w:div>
    <w:div w:id="169026980">
      <w:bodyDiv w:val="1"/>
      <w:marLeft w:val="0"/>
      <w:marRight w:val="0"/>
      <w:marTop w:val="0"/>
      <w:marBottom w:val="0"/>
      <w:divBdr>
        <w:top w:val="none" w:sz="0" w:space="0" w:color="auto"/>
        <w:left w:val="none" w:sz="0" w:space="0" w:color="auto"/>
        <w:bottom w:val="none" w:sz="0" w:space="0" w:color="auto"/>
        <w:right w:val="none" w:sz="0" w:space="0" w:color="auto"/>
      </w:divBdr>
      <w:divsChild>
        <w:div w:id="1044595677">
          <w:marLeft w:val="0"/>
          <w:marRight w:val="0"/>
          <w:marTop w:val="0"/>
          <w:marBottom w:val="0"/>
          <w:divBdr>
            <w:top w:val="none" w:sz="0" w:space="0" w:color="3D3D3D"/>
            <w:left w:val="none" w:sz="0" w:space="0" w:color="3D3D3D"/>
            <w:bottom w:val="none" w:sz="0" w:space="0" w:color="3D3D3D"/>
            <w:right w:val="none" w:sz="0" w:space="0" w:color="3D3D3D"/>
          </w:divBdr>
          <w:divsChild>
            <w:div w:id="4010290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838398">
      <w:bodyDiv w:val="1"/>
      <w:marLeft w:val="0"/>
      <w:marRight w:val="0"/>
      <w:marTop w:val="0"/>
      <w:marBottom w:val="0"/>
      <w:divBdr>
        <w:top w:val="none" w:sz="0" w:space="0" w:color="auto"/>
        <w:left w:val="none" w:sz="0" w:space="0" w:color="auto"/>
        <w:bottom w:val="none" w:sz="0" w:space="0" w:color="auto"/>
        <w:right w:val="none" w:sz="0" w:space="0" w:color="auto"/>
      </w:divBdr>
    </w:div>
    <w:div w:id="203177725">
      <w:bodyDiv w:val="1"/>
      <w:marLeft w:val="0"/>
      <w:marRight w:val="0"/>
      <w:marTop w:val="0"/>
      <w:marBottom w:val="0"/>
      <w:divBdr>
        <w:top w:val="none" w:sz="0" w:space="0" w:color="auto"/>
        <w:left w:val="none" w:sz="0" w:space="0" w:color="auto"/>
        <w:bottom w:val="none" w:sz="0" w:space="0" w:color="auto"/>
        <w:right w:val="none" w:sz="0" w:space="0" w:color="auto"/>
      </w:divBdr>
      <w:divsChild>
        <w:div w:id="842472120">
          <w:marLeft w:val="0"/>
          <w:marRight w:val="0"/>
          <w:marTop w:val="0"/>
          <w:marBottom w:val="0"/>
          <w:divBdr>
            <w:top w:val="none" w:sz="0" w:space="0" w:color="auto"/>
            <w:left w:val="none" w:sz="0" w:space="0" w:color="auto"/>
            <w:bottom w:val="none" w:sz="0" w:space="0" w:color="auto"/>
            <w:right w:val="none" w:sz="0" w:space="0" w:color="auto"/>
          </w:divBdr>
          <w:divsChild>
            <w:div w:id="10940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0858">
      <w:bodyDiv w:val="1"/>
      <w:marLeft w:val="0"/>
      <w:marRight w:val="0"/>
      <w:marTop w:val="0"/>
      <w:marBottom w:val="0"/>
      <w:divBdr>
        <w:top w:val="none" w:sz="0" w:space="0" w:color="auto"/>
        <w:left w:val="none" w:sz="0" w:space="0" w:color="auto"/>
        <w:bottom w:val="none" w:sz="0" w:space="0" w:color="auto"/>
        <w:right w:val="none" w:sz="0" w:space="0" w:color="auto"/>
      </w:divBdr>
      <w:divsChild>
        <w:div w:id="1536889704">
          <w:marLeft w:val="0"/>
          <w:marRight w:val="0"/>
          <w:marTop w:val="0"/>
          <w:marBottom w:val="0"/>
          <w:divBdr>
            <w:top w:val="none" w:sz="0" w:space="0" w:color="auto"/>
            <w:left w:val="none" w:sz="0" w:space="0" w:color="auto"/>
            <w:bottom w:val="none" w:sz="0" w:space="0" w:color="auto"/>
            <w:right w:val="none" w:sz="0" w:space="0" w:color="auto"/>
          </w:divBdr>
          <w:divsChild>
            <w:div w:id="2021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42386">
      <w:bodyDiv w:val="1"/>
      <w:marLeft w:val="0"/>
      <w:marRight w:val="0"/>
      <w:marTop w:val="0"/>
      <w:marBottom w:val="0"/>
      <w:divBdr>
        <w:top w:val="none" w:sz="0" w:space="0" w:color="auto"/>
        <w:left w:val="none" w:sz="0" w:space="0" w:color="auto"/>
        <w:bottom w:val="none" w:sz="0" w:space="0" w:color="auto"/>
        <w:right w:val="none" w:sz="0" w:space="0" w:color="auto"/>
      </w:divBdr>
    </w:div>
    <w:div w:id="256522004">
      <w:bodyDiv w:val="1"/>
      <w:marLeft w:val="0"/>
      <w:marRight w:val="0"/>
      <w:marTop w:val="0"/>
      <w:marBottom w:val="0"/>
      <w:divBdr>
        <w:top w:val="none" w:sz="0" w:space="0" w:color="auto"/>
        <w:left w:val="none" w:sz="0" w:space="0" w:color="auto"/>
        <w:bottom w:val="none" w:sz="0" w:space="0" w:color="auto"/>
        <w:right w:val="none" w:sz="0" w:space="0" w:color="auto"/>
      </w:divBdr>
      <w:divsChild>
        <w:div w:id="855653440">
          <w:marLeft w:val="0"/>
          <w:marRight w:val="0"/>
          <w:marTop w:val="0"/>
          <w:marBottom w:val="0"/>
          <w:divBdr>
            <w:top w:val="none" w:sz="0" w:space="0" w:color="auto"/>
            <w:left w:val="none" w:sz="0" w:space="0" w:color="auto"/>
            <w:bottom w:val="none" w:sz="0" w:space="0" w:color="auto"/>
            <w:right w:val="none" w:sz="0" w:space="0" w:color="auto"/>
          </w:divBdr>
          <w:divsChild>
            <w:div w:id="21041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89872">
      <w:bodyDiv w:val="1"/>
      <w:marLeft w:val="0"/>
      <w:marRight w:val="0"/>
      <w:marTop w:val="0"/>
      <w:marBottom w:val="0"/>
      <w:divBdr>
        <w:top w:val="none" w:sz="0" w:space="0" w:color="auto"/>
        <w:left w:val="none" w:sz="0" w:space="0" w:color="auto"/>
        <w:bottom w:val="none" w:sz="0" w:space="0" w:color="auto"/>
        <w:right w:val="none" w:sz="0" w:space="0" w:color="auto"/>
      </w:divBdr>
    </w:div>
    <w:div w:id="258369768">
      <w:bodyDiv w:val="1"/>
      <w:marLeft w:val="0"/>
      <w:marRight w:val="0"/>
      <w:marTop w:val="0"/>
      <w:marBottom w:val="0"/>
      <w:divBdr>
        <w:top w:val="none" w:sz="0" w:space="0" w:color="auto"/>
        <w:left w:val="none" w:sz="0" w:space="0" w:color="auto"/>
        <w:bottom w:val="none" w:sz="0" w:space="0" w:color="auto"/>
        <w:right w:val="none" w:sz="0" w:space="0" w:color="auto"/>
      </w:divBdr>
      <w:divsChild>
        <w:div w:id="52773746">
          <w:marLeft w:val="0"/>
          <w:marRight w:val="0"/>
          <w:marTop w:val="0"/>
          <w:marBottom w:val="0"/>
          <w:divBdr>
            <w:top w:val="none" w:sz="0" w:space="0" w:color="3D3D3D"/>
            <w:left w:val="none" w:sz="0" w:space="0" w:color="3D3D3D"/>
            <w:bottom w:val="none" w:sz="0" w:space="0" w:color="3D3D3D"/>
            <w:right w:val="none" w:sz="0" w:space="0" w:color="3D3D3D"/>
          </w:divBdr>
          <w:divsChild>
            <w:div w:id="4078494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2191266">
      <w:bodyDiv w:val="1"/>
      <w:marLeft w:val="0"/>
      <w:marRight w:val="0"/>
      <w:marTop w:val="0"/>
      <w:marBottom w:val="0"/>
      <w:divBdr>
        <w:top w:val="none" w:sz="0" w:space="0" w:color="auto"/>
        <w:left w:val="none" w:sz="0" w:space="0" w:color="auto"/>
        <w:bottom w:val="none" w:sz="0" w:space="0" w:color="auto"/>
        <w:right w:val="none" w:sz="0" w:space="0" w:color="auto"/>
      </w:divBdr>
    </w:div>
    <w:div w:id="432484264">
      <w:bodyDiv w:val="1"/>
      <w:marLeft w:val="0"/>
      <w:marRight w:val="0"/>
      <w:marTop w:val="0"/>
      <w:marBottom w:val="0"/>
      <w:divBdr>
        <w:top w:val="none" w:sz="0" w:space="0" w:color="auto"/>
        <w:left w:val="none" w:sz="0" w:space="0" w:color="auto"/>
        <w:bottom w:val="none" w:sz="0" w:space="0" w:color="auto"/>
        <w:right w:val="none" w:sz="0" w:space="0" w:color="auto"/>
      </w:divBdr>
      <w:divsChild>
        <w:div w:id="2057966310">
          <w:marLeft w:val="0"/>
          <w:marRight w:val="0"/>
          <w:marTop w:val="0"/>
          <w:marBottom w:val="0"/>
          <w:divBdr>
            <w:top w:val="none" w:sz="0" w:space="0" w:color="3D3D3D"/>
            <w:left w:val="none" w:sz="0" w:space="0" w:color="3D3D3D"/>
            <w:bottom w:val="none" w:sz="0" w:space="0" w:color="3D3D3D"/>
            <w:right w:val="none" w:sz="0" w:space="0" w:color="3D3D3D"/>
          </w:divBdr>
          <w:divsChild>
            <w:div w:id="2183233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0659334">
      <w:bodyDiv w:val="1"/>
      <w:marLeft w:val="0"/>
      <w:marRight w:val="0"/>
      <w:marTop w:val="0"/>
      <w:marBottom w:val="0"/>
      <w:divBdr>
        <w:top w:val="none" w:sz="0" w:space="0" w:color="auto"/>
        <w:left w:val="none" w:sz="0" w:space="0" w:color="auto"/>
        <w:bottom w:val="none" w:sz="0" w:space="0" w:color="auto"/>
        <w:right w:val="none" w:sz="0" w:space="0" w:color="auto"/>
      </w:divBdr>
      <w:divsChild>
        <w:div w:id="153492629">
          <w:marLeft w:val="0"/>
          <w:marRight w:val="0"/>
          <w:marTop w:val="0"/>
          <w:marBottom w:val="0"/>
          <w:divBdr>
            <w:top w:val="none" w:sz="0" w:space="0" w:color="auto"/>
            <w:left w:val="none" w:sz="0" w:space="0" w:color="auto"/>
            <w:bottom w:val="none" w:sz="0" w:space="0" w:color="auto"/>
            <w:right w:val="none" w:sz="0" w:space="0" w:color="auto"/>
          </w:divBdr>
          <w:divsChild>
            <w:div w:id="19948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4711">
      <w:bodyDiv w:val="1"/>
      <w:marLeft w:val="0"/>
      <w:marRight w:val="0"/>
      <w:marTop w:val="0"/>
      <w:marBottom w:val="0"/>
      <w:divBdr>
        <w:top w:val="none" w:sz="0" w:space="0" w:color="auto"/>
        <w:left w:val="none" w:sz="0" w:space="0" w:color="auto"/>
        <w:bottom w:val="none" w:sz="0" w:space="0" w:color="auto"/>
        <w:right w:val="none" w:sz="0" w:space="0" w:color="auto"/>
      </w:divBdr>
      <w:divsChild>
        <w:div w:id="985161495">
          <w:marLeft w:val="0"/>
          <w:marRight w:val="0"/>
          <w:marTop w:val="0"/>
          <w:marBottom w:val="0"/>
          <w:divBdr>
            <w:top w:val="none" w:sz="0" w:space="0" w:color="auto"/>
            <w:left w:val="none" w:sz="0" w:space="0" w:color="auto"/>
            <w:bottom w:val="none" w:sz="0" w:space="0" w:color="auto"/>
            <w:right w:val="none" w:sz="0" w:space="0" w:color="auto"/>
          </w:divBdr>
          <w:divsChild>
            <w:div w:id="6625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853">
      <w:bodyDiv w:val="1"/>
      <w:marLeft w:val="0"/>
      <w:marRight w:val="0"/>
      <w:marTop w:val="0"/>
      <w:marBottom w:val="0"/>
      <w:divBdr>
        <w:top w:val="none" w:sz="0" w:space="0" w:color="auto"/>
        <w:left w:val="none" w:sz="0" w:space="0" w:color="auto"/>
        <w:bottom w:val="none" w:sz="0" w:space="0" w:color="auto"/>
        <w:right w:val="none" w:sz="0" w:space="0" w:color="auto"/>
      </w:divBdr>
      <w:divsChild>
        <w:div w:id="719595494">
          <w:marLeft w:val="0"/>
          <w:marRight w:val="0"/>
          <w:marTop w:val="0"/>
          <w:marBottom w:val="0"/>
          <w:divBdr>
            <w:top w:val="none" w:sz="0" w:space="0" w:color="auto"/>
            <w:left w:val="none" w:sz="0" w:space="0" w:color="auto"/>
            <w:bottom w:val="none" w:sz="0" w:space="0" w:color="auto"/>
            <w:right w:val="none" w:sz="0" w:space="0" w:color="auto"/>
          </w:divBdr>
        </w:div>
        <w:div w:id="999885767">
          <w:marLeft w:val="0"/>
          <w:marRight w:val="0"/>
          <w:marTop w:val="240"/>
          <w:marBottom w:val="0"/>
          <w:divBdr>
            <w:top w:val="none" w:sz="0" w:space="0" w:color="auto"/>
            <w:left w:val="none" w:sz="0" w:space="0" w:color="auto"/>
            <w:bottom w:val="none" w:sz="0" w:space="0" w:color="auto"/>
            <w:right w:val="none" w:sz="0" w:space="0" w:color="auto"/>
          </w:divBdr>
          <w:divsChild>
            <w:div w:id="750857931">
              <w:marLeft w:val="0"/>
              <w:marRight w:val="0"/>
              <w:marTop w:val="0"/>
              <w:marBottom w:val="0"/>
              <w:divBdr>
                <w:top w:val="none" w:sz="0" w:space="0" w:color="auto"/>
                <w:left w:val="none" w:sz="0" w:space="0" w:color="auto"/>
                <w:bottom w:val="none" w:sz="0" w:space="0" w:color="auto"/>
                <w:right w:val="none" w:sz="0" w:space="0" w:color="auto"/>
              </w:divBdr>
            </w:div>
          </w:divsChild>
        </w:div>
        <w:div w:id="2009211600">
          <w:marLeft w:val="0"/>
          <w:marRight w:val="0"/>
          <w:marTop w:val="240"/>
          <w:marBottom w:val="0"/>
          <w:divBdr>
            <w:top w:val="none" w:sz="0" w:space="0" w:color="auto"/>
            <w:left w:val="none" w:sz="0" w:space="0" w:color="auto"/>
            <w:bottom w:val="none" w:sz="0" w:space="0" w:color="auto"/>
            <w:right w:val="none" w:sz="0" w:space="0" w:color="auto"/>
          </w:divBdr>
          <w:divsChild>
            <w:div w:id="16323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6717">
      <w:bodyDiv w:val="1"/>
      <w:marLeft w:val="0"/>
      <w:marRight w:val="0"/>
      <w:marTop w:val="0"/>
      <w:marBottom w:val="0"/>
      <w:divBdr>
        <w:top w:val="none" w:sz="0" w:space="0" w:color="auto"/>
        <w:left w:val="none" w:sz="0" w:space="0" w:color="auto"/>
        <w:bottom w:val="none" w:sz="0" w:space="0" w:color="auto"/>
        <w:right w:val="none" w:sz="0" w:space="0" w:color="auto"/>
      </w:divBdr>
    </w:div>
    <w:div w:id="600996151">
      <w:bodyDiv w:val="1"/>
      <w:marLeft w:val="0"/>
      <w:marRight w:val="0"/>
      <w:marTop w:val="0"/>
      <w:marBottom w:val="0"/>
      <w:divBdr>
        <w:top w:val="none" w:sz="0" w:space="0" w:color="auto"/>
        <w:left w:val="none" w:sz="0" w:space="0" w:color="auto"/>
        <w:bottom w:val="none" w:sz="0" w:space="0" w:color="auto"/>
        <w:right w:val="none" w:sz="0" w:space="0" w:color="auto"/>
      </w:divBdr>
    </w:div>
    <w:div w:id="637611607">
      <w:bodyDiv w:val="1"/>
      <w:marLeft w:val="0"/>
      <w:marRight w:val="0"/>
      <w:marTop w:val="0"/>
      <w:marBottom w:val="0"/>
      <w:divBdr>
        <w:top w:val="none" w:sz="0" w:space="0" w:color="auto"/>
        <w:left w:val="none" w:sz="0" w:space="0" w:color="auto"/>
        <w:bottom w:val="none" w:sz="0" w:space="0" w:color="auto"/>
        <w:right w:val="none" w:sz="0" w:space="0" w:color="auto"/>
      </w:divBdr>
      <w:divsChild>
        <w:div w:id="583301756">
          <w:marLeft w:val="0"/>
          <w:marRight w:val="0"/>
          <w:marTop w:val="0"/>
          <w:marBottom w:val="0"/>
          <w:divBdr>
            <w:top w:val="none" w:sz="0" w:space="0" w:color="auto"/>
            <w:left w:val="none" w:sz="0" w:space="0" w:color="auto"/>
            <w:bottom w:val="none" w:sz="0" w:space="0" w:color="auto"/>
            <w:right w:val="none" w:sz="0" w:space="0" w:color="auto"/>
          </w:divBdr>
          <w:divsChild>
            <w:div w:id="8276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71857">
      <w:bodyDiv w:val="1"/>
      <w:marLeft w:val="0"/>
      <w:marRight w:val="0"/>
      <w:marTop w:val="0"/>
      <w:marBottom w:val="0"/>
      <w:divBdr>
        <w:top w:val="none" w:sz="0" w:space="0" w:color="auto"/>
        <w:left w:val="none" w:sz="0" w:space="0" w:color="auto"/>
        <w:bottom w:val="none" w:sz="0" w:space="0" w:color="auto"/>
        <w:right w:val="none" w:sz="0" w:space="0" w:color="auto"/>
      </w:divBdr>
      <w:divsChild>
        <w:div w:id="1906911039">
          <w:marLeft w:val="0"/>
          <w:marRight w:val="0"/>
          <w:marTop w:val="0"/>
          <w:marBottom w:val="0"/>
          <w:divBdr>
            <w:top w:val="none" w:sz="0" w:space="0" w:color="auto"/>
            <w:left w:val="none" w:sz="0" w:space="0" w:color="auto"/>
            <w:bottom w:val="none" w:sz="0" w:space="0" w:color="auto"/>
            <w:right w:val="none" w:sz="0" w:space="0" w:color="auto"/>
          </w:divBdr>
        </w:div>
      </w:divsChild>
    </w:div>
    <w:div w:id="729303676">
      <w:bodyDiv w:val="1"/>
      <w:marLeft w:val="0"/>
      <w:marRight w:val="0"/>
      <w:marTop w:val="0"/>
      <w:marBottom w:val="0"/>
      <w:divBdr>
        <w:top w:val="none" w:sz="0" w:space="0" w:color="auto"/>
        <w:left w:val="none" w:sz="0" w:space="0" w:color="auto"/>
        <w:bottom w:val="none" w:sz="0" w:space="0" w:color="auto"/>
        <w:right w:val="none" w:sz="0" w:space="0" w:color="auto"/>
      </w:divBdr>
      <w:divsChild>
        <w:div w:id="513304644">
          <w:marLeft w:val="0"/>
          <w:marRight w:val="0"/>
          <w:marTop w:val="0"/>
          <w:marBottom w:val="0"/>
          <w:divBdr>
            <w:top w:val="none" w:sz="0" w:space="0" w:color="auto"/>
            <w:left w:val="none" w:sz="0" w:space="0" w:color="auto"/>
            <w:bottom w:val="none" w:sz="0" w:space="0" w:color="auto"/>
            <w:right w:val="none" w:sz="0" w:space="0" w:color="auto"/>
          </w:divBdr>
          <w:divsChild>
            <w:div w:id="6642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6964">
      <w:bodyDiv w:val="1"/>
      <w:marLeft w:val="0"/>
      <w:marRight w:val="0"/>
      <w:marTop w:val="0"/>
      <w:marBottom w:val="0"/>
      <w:divBdr>
        <w:top w:val="none" w:sz="0" w:space="0" w:color="auto"/>
        <w:left w:val="none" w:sz="0" w:space="0" w:color="auto"/>
        <w:bottom w:val="none" w:sz="0" w:space="0" w:color="auto"/>
        <w:right w:val="none" w:sz="0" w:space="0" w:color="auto"/>
      </w:divBdr>
    </w:div>
    <w:div w:id="737898405">
      <w:bodyDiv w:val="1"/>
      <w:marLeft w:val="0"/>
      <w:marRight w:val="0"/>
      <w:marTop w:val="0"/>
      <w:marBottom w:val="0"/>
      <w:divBdr>
        <w:top w:val="none" w:sz="0" w:space="0" w:color="auto"/>
        <w:left w:val="none" w:sz="0" w:space="0" w:color="auto"/>
        <w:bottom w:val="none" w:sz="0" w:space="0" w:color="auto"/>
        <w:right w:val="none" w:sz="0" w:space="0" w:color="auto"/>
      </w:divBdr>
      <w:divsChild>
        <w:div w:id="1096100658">
          <w:marLeft w:val="0"/>
          <w:marRight w:val="0"/>
          <w:marTop w:val="0"/>
          <w:marBottom w:val="0"/>
          <w:divBdr>
            <w:top w:val="none" w:sz="0" w:space="0" w:color="3D3D3D"/>
            <w:left w:val="none" w:sz="0" w:space="0" w:color="3D3D3D"/>
            <w:bottom w:val="none" w:sz="0" w:space="0" w:color="3D3D3D"/>
            <w:right w:val="none" w:sz="0" w:space="0" w:color="3D3D3D"/>
          </w:divBdr>
          <w:divsChild>
            <w:div w:id="2801093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2363679">
      <w:bodyDiv w:val="1"/>
      <w:marLeft w:val="0"/>
      <w:marRight w:val="0"/>
      <w:marTop w:val="0"/>
      <w:marBottom w:val="0"/>
      <w:divBdr>
        <w:top w:val="none" w:sz="0" w:space="0" w:color="auto"/>
        <w:left w:val="none" w:sz="0" w:space="0" w:color="auto"/>
        <w:bottom w:val="none" w:sz="0" w:space="0" w:color="auto"/>
        <w:right w:val="none" w:sz="0" w:space="0" w:color="auto"/>
      </w:divBdr>
      <w:divsChild>
        <w:div w:id="667903107">
          <w:marLeft w:val="0"/>
          <w:marRight w:val="0"/>
          <w:marTop w:val="0"/>
          <w:marBottom w:val="0"/>
          <w:divBdr>
            <w:top w:val="none" w:sz="0" w:space="0" w:color="3D3D3D"/>
            <w:left w:val="none" w:sz="0" w:space="0" w:color="3D3D3D"/>
            <w:bottom w:val="none" w:sz="0" w:space="0" w:color="3D3D3D"/>
            <w:right w:val="none" w:sz="0" w:space="0" w:color="3D3D3D"/>
          </w:divBdr>
          <w:divsChild>
            <w:div w:id="10360791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2728487">
      <w:bodyDiv w:val="1"/>
      <w:marLeft w:val="0"/>
      <w:marRight w:val="0"/>
      <w:marTop w:val="0"/>
      <w:marBottom w:val="0"/>
      <w:divBdr>
        <w:top w:val="none" w:sz="0" w:space="0" w:color="auto"/>
        <w:left w:val="none" w:sz="0" w:space="0" w:color="auto"/>
        <w:bottom w:val="none" w:sz="0" w:space="0" w:color="auto"/>
        <w:right w:val="none" w:sz="0" w:space="0" w:color="auto"/>
      </w:divBdr>
    </w:div>
    <w:div w:id="779178507">
      <w:bodyDiv w:val="1"/>
      <w:marLeft w:val="0"/>
      <w:marRight w:val="0"/>
      <w:marTop w:val="0"/>
      <w:marBottom w:val="0"/>
      <w:divBdr>
        <w:top w:val="none" w:sz="0" w:space="0" w:color="auto"/>
        <w:left w:val="none" w:sz="0" w:space="0" w:color="auto"/>
        <w:bottom w:val="none" w:sz="0" w:space="0" w:color="auto"/>
        <w:right w:val="none" w:sz="0" w:space="0" w:color="auto"/>
      </w:divBdr>
      <w:divsChild>
        <w:div w:id="732041555">
          <w:marLeft w:val="0"/>
          <w:marRight w:val="0"/>
          <w:marTop w:val="0"/>
          <w:marBottom w:val="0"/>
          <w:divBdr>
            <w:top w:val="none" w:sz="0" w:space="0" w:color="auto"/>
            <w:left w:val="none" w:sz="0" w:space="0" w:color="auto"/>
            <w:bottom w:val="none" w:sz="0" w:space="0" w:color="auto"/>
            <w:right w:val="none" w:sz="0" w:space="0" w:color="auto"/>
          </w:divBdr>
        </w:div>
      </w:divsChild>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11943534">
      <w:bodyDiv w:val="1"/>
      <w:marLeft w:val="0"/>
      <w:marRight w:val="0"/>
      <w:marTop w:val="0"/>
      <w:marBottom w:val="0"/>
      <w:divBdr>
        <w:top w:val="none" w:sz="0" w:space="0" w:color="auto"/>
        <w:left w:val="none" w:sz="0" w:space="0" w:color="auto"/>
        <w:bottom w:val="none" w:sz="0" w:space="0" w:color="auto"/>
        <w:right w:val="none" w:sz="0" w:space="0" w:color="auto"/>
      </w:divBdr>
      <w:divsChild>
        <w:div w:id="1286499860">
          <w:marLeft w:val="0"/>
          <w:marRight w:val="0"/>
          <w:marTop w:val="0"/>
          <w:marBottom w:val="0"/>
          <w:divBdr>
            <w:top w:val="none" w:sz="0" w:space="0" w:color="auto"/>
            <w:left w:val="none" w:sz="0" w:space="0" w:color="auto"/>
            <w:bottom w:val="none" w:sz="0" w:space="0" w:color="auto"/>
            <w:right w:val="none" w:sz="0" w:space="0" w:color="auto"/>
          </w:divBdr>
          <w:divsChild>
            <w:div w:id="1657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3962">
      <w:bodyDiv w:val="1"/>
      <w:marLeft w:val="0"/>
      <w:marRight w:val="0"/>
      <w:marTop w:val="0"/>
      <w:marBottom w:val="0"/>
      <w:divBdr>
        <w:top w:val="none" w:sz="0" w:space="0" w:color="auto"/>
        <w:left w:val="none" w:sz="0" w:space="0" w:color="auto"/>
        <w:bottom w:val="none" w:sz="0" w:space="0" w:color="auto"/>
        <w:right w:val="none" w:sz="0" w:space="0" w:color="auto"/>
      </w:divBdr>
    </w:div>
    <w:div w:id="885793207">
      <w:bodyDiv w:val="1"/>
      <w:marLeft w:val="0"/>
      <w:marRight w:val="0"/>
      <w:marTop w:val="0"/>
      <w:marBottom w:val="0"/>
      <w:divBdr>
        <w:top w:val="none" w:sz="0" w:space="0" w:color="auto"/>
        <w:left w:val="none" w:sz="0" w:space="0" w:color="auto"/>
        <w:bottom w:val="none" w:sz="0" w:space="0" w:color="auto"/>
        <w:right w:val="none" w:sz="0" w:space="0" w:color="auto"/>
      </w:divBdr>
      <w:divsChild>
        <w:div w:id="1114599340">
          <w:marLeft w:val="0"/>
          <w:marRight w:val="0"/>
          <w:marTop w:val="0"/>
          <w:marBottom w:val="0"/>
          <w:divBdr>
            <w:top w:val="none" w:sz="0" w:space="0" w:color="3D3D3D"/>
            <w:left w:val="none" w:sz="0" w:space="0" w:color="3D3D3D"/>
            <w:bottom w:val="none" w:sz="0" w:space="0" w:color="3D3D3D"/>
            <w:right w:val="none" w:sz="0" w:space="0" w:color="3D3D3D"/>
          </w:divBdr>
          <w:divsChild>
            <w:div w:id="5810689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7083744">
      <w:bodyDiv w:val="1"/>
      <w:marLeft w:val="0"/>
      <w:marRight w:val="0"/>
      <w:marTop w:val="0"/>
      <w:marBottom w:val="0"/>
      <w:divBdr>
        <w:top w:val="none" w:sz="0" w:space="0" w:color="auto"/>
        <w:left w:val="none" w:sz="0" w:space="0" w:color="auto"/>
        <w:bottom w:val="none" w:sz="0" w:space="0" w:color="auto"/>
        <w:right w:val="none" w:sz="0" w:space="0" w:color="auto"/>
      </w:divBdr>
      <w:divsChild>
        <w:div w:id="1716200872">
          <w:marLeft w:val="0"/>
          <w:marRight w:val="0"/>
          <w:marTop w:val="0"/>
          <w:marBottom w:val="0"/>
          <w:divBdr>
            <w:top w:val="none" w:sz="0" w:space="0" w:color="auto"/>
            <w:left w:val="none" w:sz="0" w:space="0" w:color="auto"/>
            <w:bottom w:val="none" w:sz="0" w:space="0" w:color="auto"/>
            <w:right w:val="none" w:sz="0" w:space="0" w:color="auto"/>
          </w:divBdr>
          <w:divsChild>
            <w:div w:id="4148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0360">
      <w:bodyDiv w:val="1"/>
      <w:marLeft w:val="0"/>
      <w:marRight w:val="0"/>
      <w:marTop w:val="0"/>
      <w:marBottom w:val="0"/>
      <w:divBdr>
        <w:top w:val="none" w:sz="0" w:space="0" w:color="auto"/>
        <w:left w:val="none" w:sz="0" w:space="0" w:color="auto"/>
        <w:bottom w:val="none" w:sz="0" w:space="0" w:color="auto"/>
        <w:right w:val="none" w:sz="0" w:space="0" w:color="auto"/>
      </w:divBdr>
    </w:div>
    <w:div w:id="977877717">
      <w:bodyDiv w:val="1"/>
      <w:marLeft w:val="0"/>
      <w:marRight w:val="0"/>
      <w:marTop w:val="0"/>
      <w:marBottom w:val="0"/>
      <w:divBdr>
        <w:top w:val="none" w:sz="0" w:space="0" w:color="auto"/>
        <w:left w:val="none" w:sz="0" w:space="0" w:color="auto"/>
        <w:bottom w:val="none" w:sz="0" w:space="0" w:color="auto"/>
        <w:right w:val="none" w:sz="0" w:space="0" w:color="auto"/>
      </w:divBdr>
      <w:divsChild>
        <w:div w:id="1412384137">
          <w:marLeft w:val="0"/>
          <w:marRight w:val="0"/>
          <w:marTop w:val="0"/>
          <w:marBottom w:val="0"/>
          <w:divBdr>
            <w:top w:val="none" w:sz="0" w:space="0" w:color="auto"/>
            <w:left w:val="none" w:sz="0" w:space="0" w:color="auto"/>
            <w:bottom w:val="none" w:sz="0" w:space="0" w:color="auto"/>
            <w:right w:val="none" w:sz="0" w:space="0" w:color="auto"/>
          </w:divBdr>
          <w:divsChild>
            <w:div w:id="8931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52459">
      <w:bodyDiv w:val="1"/>
      <w:marLeft w:val="0"/>
      <w:marRight w:val="0"/>
      <w:marTop w:val="0"/>
      <w:marBottom w:val="0"/>
      <w:divBdr>
        <w:top w:val="none" w:sz="0" w:space="0" w:color="auto"/>
        <w:left w:val="none" w:sz="0" w:space="0" w:color="auto"/>
        <w:bottom w:val="none" w:sz="0" w:space="0" w:color="auto"/>
        <w:right w:val="none" w:sz="0" w:space="0" w:color="auto"/>
      </w:divBdr>
    </w:div>
    <w:div w:id="1067269545">
      <w:bodyDiv w:val="1"/>
      <w:marLeft w:val="0"/>
      <w:marRight w:val="0"/>
      <w:marTop w:val="0"/>
      <w:marBottom w:val="0"/>
      <w:divBdr>
        <w:top w:val="none" w:sz="0" w:space="0" w:color="auto"/>
        <w:left w:val="none" w:sz="0" w:space="0" w:color="auto"/>
        <w:bottom w:val="none" w:sz="0" w:space="0" w:color="auto"/>
        <w:right w:val="none" w:sz="0" w:space="0" w:color="auto"/>
      </w:divBdr>
    </w:div>
    <w:div w:id="1072658615">
      <w:bodyDiv w:val="1"/>
      <w:marLeft w:val="0"/>
      <w:marRight w:val="0"/>
      <w:marTop w:val="0"/>
      <w:marBottom w:val="0"/>
      <w:divBdr>
        <w:top w:val="none" w:sz="0" w:space="0" w:color="auto"/>
        <w:left w:val="none" w:sz="0" w:space="0" w:color="auto"/>
        <w:bottom w:val="none" w:sz="0" w:space="0" w:color="auto"/>
        <w:right w:val="none" w:sz="0" w:space="0" w:color="auto"/>
      </w:divBdr>
      <w:divsChild>
        <w:div w:id="1487285995">
          <w:marLeft w:val="0"/>
          <w:marRight w:val="0"/>
          <w:marTop w:val="0"/>
          <w:marBottom w:val="0"/>
          <w:divBdr>
            <w:top w:val="none" w:sz="0" w:space="0" w:color="auto"/>
            <w:left w:val="none" w:sz="0" w:space="0" w:color="auto"/>
            <w:bottom w:val="none" w:sz="0" w:space="0" w:color="auto"/>
            <w:right w:val="none" w:sz="0" w:space="0" w:color="auto"/>
          </w:divBdr>
        </w:div>
        <w:div w:id="1320503002">
          <w:marLeft w:val="0"/>
          <w:marRight w:val="0"/>
          <w:marTop w:val="240"/>
          <w:marBottom w:val="0"/>
          <w:divBdr>
            <w:top w:val="none" w:sz="0" w:space="0" w:color="auto"/>
            <w:left w:val="none" w:sz="0" w:space="0" w:color="auto"/>
            <w:bottom w:val="none" w:sz="0" w:space="0" w:color="auto"/>
            <w:right w:val="none" w:sz="0" w:space="0" w:color="auto"/>
          </w:divBdr>
          <w:divsChild>
            <w:div w:id="18909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4571">
      <w:bodyDiv w:val="1"/>
      <w:marLeft w:val="0"/>
      <w:marRight w:val="0"/>
      <w:marTop w:val="0"/>
      <w:marBottom w:val="0"/>
      <w:divBdr>
        <w:top w:val="none" w:sz="0" w:space="0" w:color="auto"/>
        <w:left w:val="none" w:sz="0" w:space="0" w:color="auto"/>
        <w:bottom w:val="none" w:sz="0" w:space="0" w:color="auto"/>
        <w:right w:val="none" w:sz="0" w:space="0" w:color="auto"/>
      </w:divBdr>
    </w:div>
    <w:div w:id="1111360252">
      <w:bodyDiv w:val="1"/>
      <w:marLeft w:val="0"/>
      <w:marRight w:val="0"/>
      <w:marTop w:val="0"/>
      <w:marBottom w:val="0"/>
      <w:divBdr>
        <w:top w:val="none" w:sz="0" w:space="0" w:color="auto"/>
        <w:left w:val="none" w:sz="0" w:space="0" w:color="auto"/>
        <w:bottom w:val="none" w:sz="0" w:space="0" w:color="auto"/>
        <w:right w:val="none" w:sz="0" w:space="0" w:color="auto"/>
      </w:divBdr>
    </w:div>
    <w:div w:id="1166096627">
      <w:bodyDiv w:val="1"/>
      <w:marLeft w:val="0"/>
      <w:marRight w:val="0"/>
      <w:marTop w:val="0"/>
      <w:marBottom w:val="0"/>
      <w:divBdr>
        <w:top w:val="none" w:sz="0" w:space="0" w:color="auto"/>
        <w:left w:val="none" w:sz="0" w:space="0" w:color="auto"/>
        <w:bottom w:val="none" w:sz="0" w:space="0" w:color="auto"/>
        <w:right w:val="none" w:sz="0" w:space="0" w:color="auto"/>
      </w:divBdr>
      <w:divsChild>
        <w:div w:id="1779716784">
          <w:marLeft w:val="0"/>
          <w:marRight w:val="0"/>
          <w:marTop w:val="0"/>
          <w:marBottom w:val="0"/>
          <w:divBdr>
            <w:top w:val="none" w:sz="0" w:space="0" w:color="auto"/>
            <w:left w:val="none" w:sz="0" w:space="0" w:color="auto"/>
            <w:bottom w:val="none" w:sz="0" w:space="0" w:color="auto"/>
            <w:right w:val="none" w:sz="0" w:space="0" w:color="auto"/>
          </w:divBdr>
        </w:div>
      </w:divsChild>
    </w:div>
    <w:div w:id="1174147903">
      <w:bodyDiv w:val="1"/>
      <w:marLeft w:val="0"/>
      <w:marRight w:val="0"/>
      <w:marTop w:val="0"/>
      <w:marBottom w:val="0"/>
      <w:divBdr>
        <w:top w:val="none" w:sz="0" w:space="0" w:color="auto"/>
        <w:left w:val="none" w:sz="0" w:space="0" w:color="auto"/>
        <w:bottom w:val="none" w:sz="0" w:space="0" w:color="auto"/>
        <w:right w:val="none" w:sz="0" w:space="0" w:color="auto"/>
      </w:divBdr>
      <w:divsChild>
        <w:div w:id="1583371825">
          <w:marLeft w:val="0"/>
          <w:marRight w:val="0"/>
          <w:marTop w:val="0"/>
          <w:marBottom w:val="0"/>
          <w:divBdr>
            <w:top w:val="none" w:sz="0" w:space="0" w:color="auto"/>
            <w:left w:val="none" w:sz="0" w:space="0" w:color="auto"/>
            <w:bottom w:val="none" w:sz="0" w:space="0" w:color="auto"/>
            <w:right w:val="none" w:sz="0" w:space="0" w:color="auto"/>
          </w:divBdr>
          <w:divsChild>
            <w:div w:id="1559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93">
      <w:bodyDiv w:val="1"/>
      <w:marLeft w:val="0"/>
      <w:marRight w:val="0"/>
      <w:marTop w:val="0"/>
      <w:marBottom w:val="0"/>
      <w:divBdr>
        <w:top w:val="none" w:sz="0" w:space="0" w:color="auto"/>
        <w:left w:val="none" w:sz="0" w:space="0" w:color="auto"/>
        <w:bottom w:val="none" w:sz="0" w:space="0" w:color="auto"/>
        <w:right w:val="none" w:sz="0" w:space="0" w:color="auto"/>
      </w:divBdr>
      <w:divsChild>
        <w:div w:id="1149053763">
          <w:marLeft w:val="0"/>
          <w:marRight w:val="0"/>
          <w:marTop w:val="0"/>
          <w:marBottom w:val="0"/>
          <w:divBdr>
            <w:top w:val="none" w:sz="0" w:space="0" w:color="auto"/>
            <w:left w:val="none" w:sz="0" w:space="0" w:color="auto"/>
            <w:bottom w:val="none" w:sz="0" w:space="0" w:color="auto"/>
            <w:right w:val="none" w:sz="0" w:space="0" w:color="auto"/>
          </w:divBdr>
          <w:divsChild>
            <w:div w:id="1014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1021">
      <w:bodyDiv w:val="1"/>
      <w:marLeft w:val="0"/>
      <w:marRight w:val="0"/>
      <w:marTop w:val="0"/>
      <w:marBottom w:val="0"/>
      <w:divBdr>
        <w:top w:val="none" w:sz="0" w:space="0" w:color="auto"/>
        <w:left w:val="none" w:sz="0" w:space="0" w:color="auto"/>
        <w:bottom w:val="none" w:sz="0" w:space="0" w:color="auto"/>
        <w:right w:val="none" w:sz="0" w:space="0" w:color="auto"/>
      </w:divBdr>
      <w:divsChild>
        <w:div w:id="166211599">
          <w:marLeft w:val="0"/>
          <w:marRight w:val="0"/>
          <w:marTop w:val="0"/>
          <w:marBottom w:val="0"/>
          <w:divBdr>
            <w:top w:val="none" w:sz="0" w:space="0" w:color="3D3D3D"/>
            <w:left w:val="none" w:sz="0" w:space="0" w:color="3D3D3D"/>
            <w:bottom w:val="none" w:sz="0" w:space="0" w:color="3D3D3D"/>
            <w:right w:val="none" w:sz="0" w:space="0" w:color="3D3D3D"/>
          </w:divBdr>
          <w:divsChild>
            <w:div w:id="3683802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19822817">
      <w:bodyDiv w:val="1"/>
      <w:marLeft w:val="0"/>
      <w:marRight w:val="0"/>
      <w:marTop w:val="0"/>
      <w:marBottom w:val="0"/>
      <w:divBdr>
        <w:top w:val="none" w:sz="0" w:space="0" w:color="auto"/>
        <w:left w:val="none" w:sz="0" w:space="0" w:color="auto"/>
        <w:bottom w:val="none" w:sz="0" w:space="0" w:color="auto"/>
        <w:right w:val="none" w:sz="0" w:space="0" w:color="auto"/>
      </w:divBdr>
      <w:divsChild>
        <w:div w:id="62341156">
          <w:marLeft w:val="0"/>
          <w:marRight w:val="0"/>
          <w:marTop w:val="0"/>
          <w:marBottom w:val="0"/>
          <w:divBdr>
            <w:top w:val="none" w:sz="0" w:space="0" w:color="auto"/>
            <w:left w:val="none" w:sz="0" w:space="0" w:color="auto"/>
            <w:bottom w:val="none" w:sz="0" w:space="0" w:color="auto"/>
            <w:right w:val="none" w:sz="0" w:space="0" w:color="auto"/>
          </w:divBdr>
          <w:divsChild>
            <w:div w:id="18706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93795">
      <w:bodyDiv w:val="1"/>
      <w:marLeft w:val="0"/>
      <w:marRight w:val="0"/>
      <w:marTop w:val="0"/>
      <w:marBottom w:val="0"/>
      <w:divBdr>
        <w:top w:val="none" w:sz="0" w:space="0" w:color="auto"/>
        <w:left w:val="none" w:sz="0" w:space="0" w:color="auto"/>
        <w:bottom w:val="none" w:sz="0" w:space="0" w:color="auto"/>
        <w:right w:val="none" w:sz="0" w:space="0" w:color="auto"/>
      </w:divBdr>
      <w:divsChild>
        <w:div w:id="1023944732">
          <w:marLeft w:val="0"/>
          <w:marRight w:val="0"/>
          <w:marTop w:val="0"/>
          <w:marBottom w:val="0"/>
          <w:divBdr>
            <w:top w:val="none" w:sz="0" w:space="0" w:color="3D3D3D"/>
            <w:left w:val="none" w:sz="0" w:space="0" w:color="3D3D3D"/>
            <w:bottom w:val="none" w:sz="0" w:space="0" w:color="3D3D3D"/>
            <w:right w:val="none" w:sz="0" w:space="0" w:color="3D3D3D"/>
          </w:divBdr>
          <w:divsChild>
            <w:div w:id="6480999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7306869">
      <w:bodyDiv w:val="1"/>
      <w:marLeft w:val="0"/>
      <w:marRight w:val="0"/>
      <w:marTop w:val="0"/>
      <w:marBottom w:val="0"/>
      <w:divBdr>
        <w:top w:val="none" w:sz="0" w:space="0" w:color="auto"/>
        <w:left w:val="none" w:sz="0" w:space="0" w:color="auto"/>
        <w:bottom w:val="none" w:sz="0" w:space="0" w:color="auto"/>
        <w:right w:val="none" w:sz="0" w:space="0" w:color="auto"/>
      </w:divBdr>
      <w:divsChild>
        <w:div w:id="1354916859">
          <w:marLeft w:val="0"/>
          <w:marRight w:val="0"/>
          <w:marTop w:val="0"/>
          <w:marBottom w:val="0"/>
          <w:divBdr>
            <w:top w:val="none" w:sz="0" w:space="0" w:color="auto"/>
            <w:left w:val="none" w:sz="0" w:space="0" w:color="auto"/>
            <w:bottom w:val="none" w:sz="0" w:space="0" w:color="auto"/>
            <w:right w:val="none" w:sz="0" w:space="0" w:color="auto"/>
          </w:divBdr>
          <w:divsChild>
            <w:div w:id="11105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7762">
      <w:bodyDiv w:val="1"/>
      <w:marLeft w:val="0"/>
      <w:marRight w:val="0"/>
      <w:marTop w:val="0"/>
      <w:marBottom w:val="0"/>
      <w:divBdr>
        <w:top w:val="none" w:sz="0" w:space="0" w:color="auto"/>
        <w:left w:val="none" w:sz="0" w:space="0" w:color="auto"/>
        <w:bottom w:val="none" w:sz="0" w:space="0" w:color="auto"/>
        <w:right w:val="none" w:sz="0" w:space="0" w:color="auto"/>
      </w:divBdr>
    </w:div>
    <w:div w:id="1294797961">
      <w:bodyDiv w:val="1"/>
      <w:marLeft w:val="0"/>
      <w:marRight w:val="0"/>
      <w:marTop w:val="0"/>
      <w:marBottom w:val="0"/>
      <w:divBdr>
        <w:top w:val="none" w:sz="0" w:space="0" w:color="auto"/>
        <w:left w:val="none" w:sz="0" w:space="0" w:color="auto"/>
        <w:bottom w:val="none" w:sz="0" w:space="0" w:color="auto"/>
        <w:right w:val="none" w:sz="0" w:space="0" w:color="auto"/>
      </w:divBdr>
      <w:divsChild>
        <w:div w:id="523909076">
          <w:marLeft w:val="0"/>
          <w:marRight w:val="0"/>
          <w:marTop w:val="0"/>
          <w:marBottom w:val="0"/>
          <w:divBdr>
            <w:top w:val="none" w:sz="0" w:space="0" w:color="auto"/>
            <w:left w:val="none" w:sz="0" w:space="0" w:color="auto"/>
            <w:bottom w:val="none" w:sz="0" w:space="0" w:color="auto"/>
            <w:right w:val="none" w:sz="0" w:space="0" w:color="auto"/>
          </w:divBdr>
          <w:divsChild>
            <w:div w:id="19670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4738">
      <w:bodyDiv w:val="1"/>
      <w:marLeft w:val="0"/>
      <w:marRight w:val="0"/>
      <w:marTop w:val="0"/>
      <w:marBottom w:val="0"/>
      <w:divBdr>
        <w:top w:val="none" w:sz="0" w:space="0" w:color="auto"/>
        <w:left w:val="none" w:sz="0" w:space="0" w:color="auto"/>
        <w:bottom w:val="none" w:sz="0" w:space="0" w:color="auto"/>
        <w:right w:val="none" w:sz="0" w:space="0" w:color="auto"/>
      </w:divBdr>
      <w:divsChild>
        <w:div w:id="2131391214">
          <w:marLeft w:val="0"/>
          <w:marRight w:val="0"/>
          <w:marTop w:val="0"/>
          <w:marBottom w:val="0"/>
          <w:divBdr>
            <w:top w:val="none" w:sz="0" w:space="0" w:color="auto"/>
            <w:left w:val="none" w:sz="0" w:space="0" w:color="auto"/>
            <w:bottom w:val="none" w:sz="0" w:space="0" w:color="auto"/>
            <w:right w:val="none" w:sz="0" w:space="0" w:color="auto"/>
          </w:divBdr>
          <w:divsChild>
            <w:div w:id="17913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5567">
      <w:bodyDiv w:val="1"/>
      <w:marLeft w:val="0"/>
      <w:marRight w:val="0"/>
      <w:marTop w:val="0"/>
      <w:marBottom w:val="0"/>
      <w:divBdr>
        <w:top w:val="none" w:sz="0" w:space="0" w:color="auto"/>
        <w:left w:val="none" w:sz="0" w:space="0" w:color="auto"/>
        <w:bottom w:val="none" w:sz="0" w:space="0" w:color="auto"/>
        <w:right w:val="none" w:sz="0" w:space="0" w:color="auto"/>
      </w:divBdr>
    </w:div>
    <w:div w:id="1388257194">
      <w:bodyDiv w:val="1"/>
      <w:marLeft w:val="0"/>
      <w:marRight w:val="0"/>
      <w:marTop w:val="0"/>
      <w:marBottom w:val="0"/>
      <w:divBdr>
        <w:top w:val="none" w:sz="0" w:space="0" w:color="auto"/>
        <w:left w:val="none" w:sz="0" w:space="0" w:color="auto"/>
        <w:bottom w:val="none" w:sz="0" w:space="0" w:color="auto"/>
        <w:right w:val="none" w:sz="0" w:space="0" w:color="auto"/>
      </w:divBdr>
      <w:divsChild>
        <w:div w:id="38559636">
          <w:marLeft w:val="0"/>
          <w:marRight w:val="0"/>
          <w:marTop w:val="0"/>
          <w:marBottom w:val="0"/>
          <w:divBdr>
            <w:top w:val="none" w:sz="0" w:space="0" w:color="auto"/>
            <w:left w:val="none" w:sz="0" w:space="0" w:color="auto"/>
            <w:bottom w:val="none" w:sz="0" w:space="0" w:color="auto"/>
            <w:right w:val="none" w:sz="0" w:space="0" w:color="auto"/>
          </w:divBdr>
          <w:divsChild>
            <w:div w:id="8957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0995">
      <w:bodyDiv w:val="1"/>
      <w:marLeft w:val="0"/>
      <w:marRight w:val="0"/>
      <w:marTop w:val="0"/>
      <w:marBottom w:val="0"/>
      <w:divBdr>
        <w:top w:val="none" w:sz="0" w:space="0" w:color="auto"/>
        <w:left w:val="none" w:sz="0" w:space="0" w:color="auto"/>
        <w:bottom w:val="none" w:sz="0" w:space="0" w:color="auto"/>
        <w:right w:val="none" w:sz="0" w:space="0" w:color="auto"/>
      </w:divBdr>
      <w:divsChild>
        <w:div w:id="1370497749">
          <w:marLeft w:val="0"/>
          <w:marRight w:val="0"/>
          <w:marTop w:val="0"/>
          <w:marBottom w:val="0"/>
          <w:divBdr>
            <w:top w:val="none" w:sz="0" w:space="0" w:color="auto"/>
            <w:left w:val="none" w:sz="0" w:space="0" w:color="auto"/>
            <w:bottom w:val="none" w:sz="0" w:space="0" w:color="auto"/>
            <w:right w:val="none" w:sz="0" w:space="0" w:color="auto"/>
          </w:divBdr>
          <w:divsChild>
            <w:div w:id="197914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0288">
      <w:bodyDiv w:val="1"/>
      <w:marLeft w:val="0"/>
      <w:marRight w:val="0"/>
      <w:marTop w:val="0"/>
      <w:marBottom w:val="0"/>
      <w:divBdr>
        <w:top w:val="none" w:sz="0" w:space="0" w:color="auto"/>
        <w:left w:val="none" w:sz="0" w:space="0" w:color="auto"/>
        <w:bottom w:val="none" w:sz="0" w:space="0" w:color="auto"/>
        <w:right w:val="none" w:sz="0" w:space="0" w:color="auto"/>
      </w:divBdr>
      <w:divsChild>
        <w:div w:id="862286468">
          <w:marLeft w:val="0"/>
          <w:marRight w:val="0"/>
          <w:marTop w:val="0"/>
          <w:marBottom w:val="0"/>
          <w:divBdr>
            <w:top w:val="none" w:sz="0" w:space="0" w:color="auto"/>
            <w:left w:val="none" w:sz="0" w:space="0" w:color="auto"/>
            <w:bottom w:val="none" w:sz="0" w:space="0" w:color="auto"/>
            <w:right w:val="none" w:sz="0" w:space="0" w:color="auto"/>
          </w:divBdr>
          <w:divsChild>
            <w:div w:id="3144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4027">
      <w:bodyDiv w:val="1"/>
      <w:marLeft w:val="0"/>
      <w:marRight w:val="0"/>
      <w:marTop w:val="0"/>
      <w:marBottom w:val="0"/>
      <w:divBdr>
        <w:top w:val="none" w:sz="0" w:space="0" w:color="auto"/>
        <w:left w:val="none" w:sz="0" w:space="0" w:color="auto"/>
        <w:bottom w:val="none" w:sz="0" w:space="0" w:color="auto"/>
        <w:right w:val="none" w:sz="0" w:space="0" w:color="auto"/>
      </w:divBdr>
      <w:divsChild>
        <w:div w:id="1921793361">
          <w:marLeft w:val="0"/>
          <w:marRight w:val="0"/>
          <w:marTop w:val="0"/>
          <w:marBottom w:val="0"/>
          <w:divBdr>
            <w:top w:val="none" w:sz="0" w:space="0" w:color="auto"/>
            <w:left w:val="none" w:sz="0" w:space="0" w:color="auto"/>
            <w:bottom w:val="none" w:sz="0" w:space="0" w:color="auto"/>
            <w:right w:val="none" w:sz="0" w:space="0" w:color="auto"/>
          </w:divBdr>
          <w:divsChild>
            <w:div w:id="1445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73497">
      <w:bodyDiv w:val="1"/>
      <w:marLeft w:val="0"/>
      <w:marRight w:val="0"/>
      <w:marTop w:val="0"/>
      <w:marBottom w:val="0"/>
      <w:divBdr>
        <w:top w:val="none" w:sz="0" w:space="0" w:color="auto"/>
        <w:left w:val="none" w:sz="0" w:space="0" w:color="auto"/>
        <w:bottom w:val="none" w:sz="0" w:space="0" w:color="auto"/>
        <w:right w:val="none" w:sz="0" w:space="0" w:color="auto"/>
      </w:divBdr>
      <w:divsChild>
        <w:div w:id="234704907">
          <w:marLeft w:val="0"/>
          <w:marRight w:val="0"/>
          <w:marTop w:val="0"/>
          <w:marBottom w:val="0"/>
          <w:divBdr>
            <w:top w:val="none" w:sz="0" w:space="0" w:color="auto"/>
            <w:left w:val="none" w:sz="0" w:space="0" w:color="auto"/>
            <w:bottom w:val="none" w:sz="0" w:space="0" w:color="auto"/>
            <w:right w:val="none" w:sz="0" w:space="0" w:color="auto"/>
          </w:divBdr>
          <w:divsChild>
            <w:div w:id="3707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449">
      <w:bodyDiv w:val="1"/>
      <w:marLeft w:val="0"/>
      <w:marRight w:val="0"/>
      <w:marTop w:val="0"/>
      <w:marBottom w:val="0"/>
      <w:divBdr>
        <w:top w:val="none" w:sz="0" w:space="0" w:color="auto"/>
        <w:left w:val="none" w:sz="0" w:space="0" w:color="auto"/>
        <w:bottom w:val="none" w:sz="0" w:space="0" w:color="auto"/>
        <w:right w:val="none" w:sz="0" w:space="0" w:color="auto"/>
      </w:divBdr>
    </w:div>
    <w:div w:id="1530100458">
      <w:bodyDiv w:val="1"/>
      <w:marLeft w:val="0"/>
      <w:marRight w:val="0"/>
      <w:marTop w:val="0"/>
      <w:marBottom w:val="0"/>
      <w:divBdr>
        <w:top w:val="none" w:sz="0" w:space="0" w:color="auto"/>
        <w:left w:val="none" w:sz="0" w:space="0" w:color="auto"/>
        <w:bottom w:val="none" w:sz="0" w:space="0" w:color="auto"/>
        <w:right w:val="none" w:sz="0" w:space="0" w:color="auto"/>
      </w:divBdr>
      <w:divsChild>
        <w:div w:id="1669555475">
          <w:marLeft w:val="0"/>
          <w:marRight w:val="0"/>
          <w:marTop w:val="0"/>
          <w:marBottom w:val="0"/>
          <w:divBdr>
            <w:top w:val="none" w:sz="0" w:space="0" w:color="auto"/>
            <w:left w:val="none" w:sz="0" w:space="0" w:color="auto"/>
            <w:bottom w:val="none" w:sz="0" w:space="0" w:color="auto"/>
            <w:right w:val="none" w:sz="0" w:space="0" w:color="auto"/>
          </w:divBdr>
        </w:div>
        <w:div w:id="2137486240">
          <w:marLeft w:val="0"/>
          <w:marRight w:val="0"/>
          <w:marTop w:val="0"/>
          <w:marBottom w:val="0"/>
          <w:divBdr>
            <w:top w:val="none" w:sz="0" w:space="0" w:color="auto"/>
            <w:left w:val="none" w:sz="0" w:space="0" w:color="auto"/>
            <w:bottom w:val="none" w:sz="0" w:space="0" w:color="auto"/>
            <w:right w:val="none" w:sz="0" w:space="0" w:color="auto"/>
          </w:divBdr>
          <w:divsChild>
            <w:div w:id="1638342374">
              <w:marLeft w:val="0"/>
              <w:marRight w:val="0"/>
              <w:marTop w:val="0"/>
              <w:marBottom w:val="0"/>
              <w:divBdr>
                <w:top w:val="none" w:sz="0" w:space="0" w:color="auto"/>
                <w:left w:val="none" w:sz="0" w:space="0" w:color="auto"/>
                <w:bottom w:val="none" w:sz="0" w:space="0" w:color="auto"/>
                <w:right w:val="none" w:sz="0" w:space="0" w:color="auto"/>
              </w:divBdr>
              <w:divsChild>
                <w:div w:id="2124955468">
                  <w:blockQuote w:val="1"/>
                  <w:marLeft w:val="0"/>
                  <w:marRight w:val="0"/>
                  <w:marTop w:val="0"/>
                  <w:marBottom w:val="0"/>
                  <w:divBdr>
                    <w:top w:val="none" w:sz="0" w:space="0" w:color="auto"/>
                    <w:left w:val="none" w:sz="0" w:space="0" w:color="auto"/>
                    <w:bottom w:val="none" w:sz="0" w:space="0" w:color="auto"/>
                    <w:right w:val="none" w:sz="0" w:space="0" w:color="auto"/>
                  </w:divBdr>
                  <w:divsChild>
                    <w:div w:id="6580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063590">
      <w:bodyDiv w:val="1"/>
      <w:marLeft w:val="0"/>
      <w:marRight w:val="0"/>
      <w:marTop w:val="0"/>
      <w:marBottom w:val="0"/>
      <w:divBdr>
        <w:top w:val="none" w:sz="0" w:space="0" w:color="auto"/>
        <w:left w:val="none" w:sz="0" w:space="0" w:color="auto"/>
        <w:bottom w:val="none" w:sz="0" w:space="0" w:color="auto"/>
        <w:right w:val="none" w:sz="0" w:space="0" w:color="auto"/>
      </w:divBdr>
    </w:div>
    <w:div w:id="1615936479">
      <w:bodyDiv w:val="1"/>
      <w:marLeft w:val="0"/>
      <w:marRight w:val="0"/>
      <w:marTop w:val="0"/>
      <w:marBottom w:val="0"/>
      <w:divBdr>
        <w:top w:val="none" w:sz="0" w:space="0" w:color="auto"/>
        <w:left w:val="none" w:sz="0" w:space="0" w:color="auto"/>
        <w:bottom w:val="none" w:sz="0" w:space="0" w:color="auto"/>
        <w:right w:val="none" w:sz="0" w:space="0" w:color="auto"/>
      </w:divBdr>
      <w:divsChild>
        <w:div w:id="799029411">
          <w:marLeft w:val="0"/>
          <w:marRight w:val="0"/>
          <w:marTop w:val="0"/>
          <w:marBottom w:val="0"/>
          <w:divBdr>
            <w:top w:val="none" w:sz="0" w:space="0" w:color="3D3D3D"/>
            <w:left w:val="none" w:sz="0" w:space="0" w:color="3D3D3D"/>
            <w:bottom w:val="none" w:sz="0" w:space="0" w:color="3D3D3D"/>
            <w:right w:val="none" w:sz="0" w:space="0" w:color="3D3D3D"/>
          </w:divBdr>
          <w:divsChild>
            <w:div w:id="5106062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47541016">
      <w:bodyDiv w:val="1"/>
      <w:marLeft w:val="0"/>
      <w:marRight w:val="0"/>
      <w:marTop w:val="0"/>
      <w:marBottom w:val="0"/>
      <w:divBdr>
        <w:top w:val="none" w:sz="0" w:space="0" w:color="auto"/>
        <w:left w:val="none" w:sz="0" w:space="0" w:color="auto"/>
        <w:bottom w:val="none" w:sz="0" w:space="0" w:color="auto"/>
        <w:right w:val="none" w:sz="0" w:space="0" w:color="auto"/>
      </w:divBdr>
    </w:div>
    <w:div w:id="1655059323">
      <w:bodyDiv w:val="1"/>
      <w:marLeft w:val="0"/>
      <w:marRight w:val="0"/>
      <w:marTop w:val="0"/>
      <w:marBottom w:val="0"/>
      <w:divBdr>
        <w:top w:val="none" w:sz="0" w:space="0" w:color="auto"/>
        <w:left w:val="none" w:sz="0" w:space="0" w:color="auto"/>
        <w:bottom w:val="none" w:sz="0" w:space="0" w:color="auto"/>
        <w:right w:val="none" w:sz="0" w:space="0" w:color="auto"/>
      </w:divBdr>
    </w:div>
    <w:div w:id="1680083798">
      <w:bodyDiv w:val="1"/>
      <w:marLeft w:val="0"/>
      <w:marRight w:val="0"/>
      <w:marTop w:val="0"/>
      <w:marBottom w:val="0"/>
      <w:divBdr>
        <w:top w:val="none" w:sz="0" w:space="0" w:color="auto"/>
        <w:left w:val="none" w:sz="0" w:space="0" w:color="auto"/>
        <w:bottom w:val="none" w:sz="0" w:space="0" w:color="auto"/>
        <w:right w:val="none" w:sz="0" w:space="0" w:color="auto"/>
      </w:divBdr>
      <w:divsChild>
        <w:div w:id="964585442">
          <w:marLeft w:val="0"/>
          <w:marRight w:val="0"/>
          <w:marTop w:val="0"/>
          <w:marBottom w:val="0"/>
          <w:divBdr>
            <w:top w:val="none" w:sz="0" w:space="0" w:color="auto"/>
            <w:left w:val="none" w:sz="0" w:space="0" w:color="auto"/>
            <w:bottom w:val="none" w:sz="0" w:space="0" w:color="auto"/>
            <w:right w:val="none" w:sz="0" w:space="0" w:color="auto"/>
          </w:divBdr>
          <w:divsChild>
            <w:div w:id="3634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59642">
      <w:bodyDiv w:val="1"/>
      <w:marLeft w:val="0"/>
      <w:marRight w:val="0"/>
      <w:marTop w:val="0"/>
      <w:marBottom w:val="0"/>
      <w:divBdr>
        <w:top w:val="none" w:sz="0" w:space="0" w:color="auto"/>
        <w:left w:val="none" w:sz="0" w:space="0" w:color="auto"/>
        <w:bottom w:val="none" w:sz="0" w:space="0" w:color="auto"/>
        <w:right w:val="none" w:sz="0" w:space="0" w:color="auto"/>
      </w:divBdr>
      <w:divsChild>
        <w:div w:id="830604434">
          <w:marLeft w:val="0"/>
          <w:marRight w:val="0"/>
          <w:marTop w:val="0"/>
          <w:marBottom w:val="0"/>
          <w:divBdr>
            <w:top w:val="none" w:sz="0" w:space="0" w:color="auto"/>
            <w:left w:val="none" w:sz="0" w:space="0" w:color="auto"/>
            <w:bottom w:val="none" w:sz="0" w:space="0" w:color="auto"/>
            <w:right w:val="none" w:sz="0" w:space="0" w:color="auto"/>
          </w:divBdr>
          <w:divsChild>
            <w:div w:id="191305794">
              <w:marLeft w:val="0"/>
              <w:marRight w:val="0"/>
              <w:marTop w:val="0"/>
              <w:marBottom w:val="0"/>
              <w:divBdr>
                <w:top w:val="none" w:sz="0" w:space="0" w:color="auto"/>
                <w:left w:val="none" w:sz="0" w:space="0" w:color="auto"/>
                <w:bottom w:val="none" w:sz="0" w:space="0" w:color="auto"/>
                <w:right w:val="none" w:sz="0" w:space="0" w:color="auto"/>
              </w:divBdr>
            </w:div>
            <w:div w:id="402064037">
              <w:marLeft w:val="0"/>
              <w:marRight w:val="0"/>
              <w:marTop w:val="0"/>
              <w:marBottom w:val="0"/>
              <w:divBdr>
                <w:top w:val="none" w:sz="0" w:space="0" w:color="auto"/>
                <w:left w:val="none" w:sz="0" w:space="0" w:color="auto"/>
                <w:bottom w:val="none" w:sz="0" w:space="0" w:color="auto"/>
                <w:right w:val="none" w:sz="0" w:space="0" w:color="auto"/>
              </w:divBdr>
              <w:divsChild>
                <w:div w:id="680666495">
                  <w:marLeft w:val="0"/>
                  <w:marRight w:val="0"/>
                  <w:marTop w:val="0"/>
                  <w:marBottom w:val="0"/>
                  <w:divBdr>
                    <w:top w:val="none" w:sz="0" w:space="0" w:color="auto"/>
                    <w:left w:val="none" w:sz="0" w:space="0" w:color="auto"/>
                    <w:bottom w:val="none" w:sz="0" w:space="0" w:color="auto"/>
                    <w:right w:val="none" w:sz="0" w:space="0" w:color="auto"/>
                  </w:divBdr>
                </w:div>
              </w:divsChild>
            </w:div>
            <w:div w:id="1231577749">
              <w:marLeft w:val="0"/>
              <w:marRight w:val="0"/>
              <w:marTop w:val="0"/>
              <w:marBottom w:val="0"/>
              <w:divBdr>
                <w:top w:val="none" w:sz="0" w:space="0" w:color="auto"/>
                <w:left w:val="none" w:sz="0" w:space="0" w:color="auto"/>
                <w:bottom w:val="none" w:sz="0" w:space="0" w:color="auto"/>
                <w:right w:val="none" w:sz="0" w:space="0" w:color="auto"/>
              </w:divBdr>
              <w:divsChild>
                <w:div w:id="19495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4012">
      <w:bodyDiv w:val="1"/>
      <w:marLeft w:val="0"/>
      <w:marRight w:val="0"/>
      <w:marTop w:val="0"/>
      <w:marBottom w:val="0"/>
      <w:divBdr>
        <w:top w:val="none" w:sz="0" w:space="0" w:color="auto"/>
        <w:left w:val="none" w:sz="0" w:space="0" w:color="auto"/>
        <w:bottom w:val="none" w:sz="0" w:space="0" w:color="auto"/>
        <w:right w:val="none" w:sz="0" w:space="0" w:color="auto"/>
      </w:divBdr>
    </w:div>
    <w:div w:id="1742025413">
      <w:bodyDiv w:val="1"/>
      <w:marLeft w:val="0"/>
      <w:marRight w:val="0"/>
      <w:marTop w:val="0"/>
      <w:marBottom w:val="0"/>
      <w:divBdr>
        <w:top w:val="none" w:sz="0" w:space="0" w:color="auto"/>
        <w:left w:val="none" w:sz="0" w:space="0" w:color="auto"/>
        <w:bottom w:val="none" w:sz="0" w:space="0" w:color="auto"/>
        <w:right w:val="none" w:sz="0" w:space="0" w:color="auto"/>
      </w:divBdr>
      <w:divsChild>
        <w:div w:id="704478199">
          <w:marLeft w:val="0"/>
          <w:marRight w:val="0"/>
          <w:marTop w:val="0"/>
          <w:marBottom w:val="0"/>
          <w:divBdr>
            <w:top w:val="none" w:sz="0" w:space="0" w:color="3D3D3D"/>
            <w:left w:val="none" w:sz="0" w:space="0" w:color="3D3D3D"/>
            <w:bottom w:val="none" w:sz="0" w:space="0" w:color="3D3D3D"/>
            <w:right w:val="none" w:sz="0" w:space="0" w:color="3D3D3D"/>
          </w:divBdr>
          <w:divsChild>
            <w:div w:id="14947562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43522185">
      <w:bodyDiv w:val="1"/>
      <w:marLeft w:val="0"/>
      <w:marRight w:val="0"/>
      <w:marTop w:val="0"/>
      <w:marBottom w:val="0"/>
      <w:divBdr>
        <w:top w:val="none" w:sz="0" w:space="0" w:color="auto"/>
        <w:left w:val="none" w:sz="0" w:space="0" w:color="auto"/>
        <w:bottom w:val="none" w:sz="0" w:space="0" w:color="auto"/>
        <w:right w:val="none" w:sz="0" w:space="0" w:color="auto"/>
      </w:divBdr>
    </w:div>
    <w:div w:id="1762989655">
      <w:bodyDiv w:val="1"/>
      <w:marLeft w:val="0"/>
      <w:marRight w:val="0"/>
      <w:marTop w:val="0"/>
      <w:marBottom w:val="0"/>
      <w:divBdr>
        <w:top w:val="none" w:sz="0" w:space="0" w:color="auto"/>
        <w:left w:val="none" w:sz="0" w:space="0" w:color="auto"/>
        <w:bottom w:val="none" w:sz="0" w:space="0" w:color="auto"/>
        <w:right w:val="none" w:sz="0" w:space="0" w:color="auto"/>
      </w:divBdr>
      <w:divsChild>
        <w:div w:id="371735712">
          <w:marLeft w:val="0"/>
          <w:marRight w:val="0"/>
          <w:marTop w:val="0"/>
          <w:marBottom w:val="0"/>
          <w:divBdr>
            <w:top w:val="none" w:sz="0" w:space="0" w:color="auto"/>
            <w:left w:val="none" w:sz="0" w:space="0" w:color="auto"/>
            <w:bottom w:val="none" w:sz="0" w:space="0" w:color="auto"/>
            <w:right w:val="none" w:sz="0" w:space="0" w:color="auto"/>
          </w:divBdr>
          <w:divsChild>
            <w:div w:id="21457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8695">
      <w:bodyDiv w:val="1"/>
      <w:marLeft w:val="0"/>
      <w:marRight w:val="0"/>
      <w:marTop w:val="0"/>
      <w:marBottom w:val="0"/>
      <w:divBdr>
        <w:top w:val="none" w:sz="0" w:space="0" w:color="auto"/>
        <w:left w:val="none" w:sz="0" w:space="0" w:color="auto"/>
        <w:bottom w:val="none" w:sz="0" w:space="0" w:color="auto"/>
        <w:right w:val="none" w:sz="0" w:space="0" w:color="auto"/>
      </w:divBdr>
      <w:divsChild>
        <w:div w:id="399331083">
          <w:marLeft w:val="0"/>
          <w:marRight w:val="0"/>
          <w:marTop w:val="0"/>
          <w:marBottom w:val="0"/>
          <w:divBdr>
            <w:top w:val="none" w:sz="0" w:space="0" w:color="auto"/>
            <w:left w:val="none" w:sz="0" w:space="0" w:color="auto"/>
            <w:bottom w:val="none" w:sz="0" w:space="0" w:color="auto"/>
            <w:right w:val="none" w:sz="0" w:space="0" w:color="auto"/>
          </w:divBdr>
          <w:divsChild>
            <w:div w:id="15319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7779">
      <w:bodyDiv w:val="1"/>
      <w:marLeft w:val="0"/>
      <w:marRight w:val="0"/>
      <w:marTop w:val="0"/>
      <w:marBottom w:val="0"/>
      <w:divBdr>
        <w:top w:val="none" w:sz="0" w:space="0" w:color="auto"/>
        <w:left w:val="none" w:sz="0" w:space="0" w:color="auto"/>
        <w:bottom w:val="none" w:sz="0" w:space="0" w:color="auto"/>
        <w:right w:val="none" w:sz="0" w:space="0" w:color="auto"/>
      </w:divBdr>
      <w:divsChild>
        <w:div w:id="1219785926">
          <w:marLeft w:val="0"/>
          <w:marRight w:val="0"/>
          <w:marTop w:val="0"/>
          <w:marBottom w:val="0"/>
          <w:divBdr>
            <w:top w:val="none" w:sz="0" w:space="0" w:color="auto"/>
            <w:left w:val="none" w:sz="0" w:space="0" w:color="auto"/>
            <w:bottom w:val="none" w:sz="0" w:space="0" w:color="auto"/>
            <w:right w:val="none" w:sz="0" w:space="0" w:color="auto"/>
          </w:divBdr>
          <w:divsChild>
            <w:div w:id="18063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52122">
      <w:bodyDiv w:val="1"/>
      <w:marLeft w:val="0"/>
      <w:marRight w:val="0"/>
      <w:marTop w:val="0"/>
      <w:marBottom w:val="0"/>
      <w:divBdr>
        <w:top w:val="none" w:sz="0" w:space="0" w:color="auto"/>
        <w:left w:val="none" w:sz="0" w:space="0" w:color="auto"/>
        <w:bottom w:val="none" w:sz="0" w:space="0" w:color="auto"/>
        <w:right w:val="none" w:sz="0" w:space="0" w:color="auto"/>
      </w:divBdr>
      <w:divsChild>
        <w:div w:id="1928731579">
          <w:marLeft w:val="0"/>
          <w:marRight w:val="0"/>
          <w:marTop w:val="0"/>
          <w:marBottom w:val="0"/>
          <w:divBdr>
            <w:top w:val="none" w:sz="0" w:space="0" w:color="3D3D3D"/>
            <w:left w:val="none" w:sz="0" w:space="0" w:color="3D3D3D"/>
            <w:bottom w:val="none" w:sz="0" w:space="0" w:color="3D3D3D"/>
            <w:right w:val="none" w:sz="0" w:space="0" w:color="3D3D3D"/>
          </w:divBdr>
          <w:divsChild>
            <w:div w:id="8822480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9706957">
      <w:bodyDiv w:val="1"/>
      <w:marLeft w:val="0"/>
      <w:marRight w:val="0"/>
      <w:marTop w:val="0"/>
      <w:marBottom w:val="0"/>
      <w:divBdr>
        <w:top w:val="none" w:sz="0" w:space="0" w:color="auto"/>
        <w:left w:val="none" w:sz="0" w:space="0" w:color="auto"/>
        <w:bottom w:val="none" w:sz="0" w:space="0" w:color="auto"/>
        <w:right w:val="none" w:sz="0" w:space="0" w:color="auto"/>
      </w:divBdr>
    </w:div>
    <w:div w:id="1870950137">
      <w:bodyDiv w:val="1"/>
      <w:marLeft w:val="0"/>
      <w:marRight w:val="0"/>
      <w:marTop w:val="0"/>
      <w:marBottom w:val="0"/>
      <w:divBdr>
        <w:top w:val="none" w:sz="0" w:space="0" w:color="auto"/>
        <w:left w:val="none" w:sz="0" w:space="0" w:color="auto"/>
        <w:bottom w:val="none" w:sz="0" w:space="0" w:color="auto"/>
        <w:right w:val="none" w:sz="0" w:space="0" w:color="auto"/>
      </w:divBdr>
      <w:divsChild>
        <w:div w:id="2008631370">
          <w:marLeft w:val="0"/>
          <w:marRight w:val="0"/>
          <w:marTop w:val="0"/>
          <w:marBottom w:val="0"/>
          <w:divBdr>
            <w:top w:val="none" w:sz="0" w:space="0" w:color="auto"/>
            <w:left w:val="none" w:sz="0" w:space="0" w:color="auto"/>
            <w:bottom w:val="none" w:sz="0" w:space="0" w:color="auto"/>
            <w:right w:val="none" w:sz="0" w:space="0" w:color="auto"/>
          </w:divBdr>
          <w:divsChild>
            <w:div w:id="11599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90547">
      <w:bodyDiv w:val="1"/>
      <w:marLeft w:val="0"/>
      <w:marRight w:val="0"/>
      <w:marTop w:val="0"/>
      <w:marBottom w:val="0"/>
      <w:divBdr>
        <w:top w:val="none" w:sz="0" w:space="0" w:color="auto"/>
        <w:left w:val="none" w:sz="0" w:space="0" w:color="auto"/>
        <w:bottom w:val="none" w:sz="0" w:space="0" w:color="auto"/>
        <w:right w:val="none" w:sz="0" w:space="0" w:color="auto"/>
      </w:divBdr>
      <w:divsChild>
        <w:div w:id="1759213386">
          <w:marLeft w:val="0"/>
          <w:marRight w:val="0"/>
          <w:marTop w:val="0"/>
          <w:marBottom w:val="0"/>
          <w:divBdr>
            <w:top w:val="none" w:sz="0" w:space="0" w:color="auto"/>
            <w:left w:val="none" w:sz="0" w:space="0" w:color="auto"/>
            <w:bottom w:val="none" w:sz="0" w:space="0" w:color="auto"/>
            <w:right w:val="none" w:sz="0" w:space="0" w:color="auto"/>
          </w:divBdr>
          <w:divsChild>
            <w:div w:id="12187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50561">
      <w:bodyDiv w:val="1"/>
      <w:marLeft w:val="0"/>
      <w:marRight w:val="0"/>
      <w:marTop w:val="0"/>
      <w:marBottom w:val="0"/>
      <w:divBdr>
        <w:top w:val="none" w:sz="0" w:space="0" w:color="auto"/>
        <w:left w:val="none" w:sz="0" w:space="0" w:color="auto"/>
        <w:bottom w:val="none" w:sz="0" w:space="0" w:color="auto"/>
        <w:right w:val="none" w:sz="0" w:space="0" w:color="auto"/>
      </w:divBdr>
    </w:div>
    <w:div w:id="1931111533">
      <w:bodyDiv w:val="1"/>
      <w:marLeft w:val="0"/>
      <w:marRight w:val="0"/>
      <w:marTop w:val="0"/>
      <w:marBottom w:val="0"/>
      <w:divBdr>
        <w:top w:val="none" w:sz="0" w:space="0" w:color="auto"/>
        <w:left w:val="none" w:sz="0" w:space="0" w:color="auto"/>
        <w:bottom w:val="none" w:sz="0" w:space="0" w:color="auto"/>
        <w:right w:val="none" w:sz="0" w:space="0" w:color="auto"/>
      </w:divBdr>
    </w:div>
    <w:div w:id="1939865940">
      <w:bodyDiv w:val="1"/>
      <w:marLeft w:val="0"/>
      <w:marRight w:val="0"/>
      <w:marTop w:val="0"/>
      <w:marBottom w:val="0"/>
      <w:divBdr>
        <w:top w:val="none" w:sz="0" w:space="0" w:color="auto"/>
        <w:left w:val="none" w:sz="0" w:space="0" w:color="auto"/>
        <w:bottom w:val="none" w:sz="0" w:space="0" w:color="auto"/>
        <w:right w:val="none" w:sz="0" w:space="0" w:color="auto"/>
      </w:divBdr>
      <w:divsChild>
        <w:div w:id="1991202715">
          <w:marLeft w:val="0"/>
          <w:marRight w:val="0"/>
          <w:marTop w:val="0"/>
          <w:marBottom w:val="0"/>
          <w:divBdr>
            <w:top w:val="none" w:sz="0" w:space="0" w:color="auto"/>
            <w:left w:val="none" w:sz="0" w:space="0" w:color="auto"/>
            <w:bottom w:val="none" w:sz="0" w:space="0" w:color="auto"/>
            <w:right w:val="none" w:sz="0" w:space="0" w:color="auto"/>
          </w:divBdr>
          <w:divsChild>
            <w:div w:id="10860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71872">
      <w:bodyDiv w:val="1"/>
      <w:marLeft w:val="0"/>
      <w:marRight w:val="0"/>
      <w:marTop w:val="0"/>
      <w:marBottom w:val="0"/>
      <w:divBdr>
        <w:top w:val="none" w:sz="0" w:space="0" w:color="auto"/>
        <w:left w:val="none" w:sz="0" w:space="0" w:color="auto"/>
        <w:bottom w:val="none" w:sz="0" w:space="0" w:color="auto"/>
        <w:right w:val="none" w:sz="0" w:space="0" w:color="auto"/>
      </w:divBdr>
    </w:div>
    <w:div w:id="1943803005">
      <w:bodyDiv w:val="1"/>
      <w:marLeft w:val="0"/>
      <w:marRight w:val="0"/>
      <w:marTop w:val="0"/>
      <w:marBottom w:val="0"/>
      <w:divBdr>
        <w:top w:val="none" w:sz="0" w:space="0" w:color="auto"/>
        <w:left w:val="none" w:sz="0" w:space="0" w:color="auto"/>
        <w:bottom w:val="none" w:sz="0" w:space="0" w:color="auto"/>
        <w:right w:val="none" w:sz="0" w:space="0" w:color="auto"/>
      </w:divBdr>
      <w:divsChild>
        <w:div w:id="562641847">
          <w:marLeft w:val="0"/>
          <w:marRight w:val="0"/>
          <w:marTop w:val="0"/>
          <w:marBottom w:val="0"/>
          <w:divBdr>
            <w:top w:val="none" w:sz="0" w:space="0" w:color="auto"/>
            <w:left w:val="none" w:sz="0" w:space="0" w:color="auto"/>
            <w:bottom w:val="none" w:sz="0" w:space="0" w:color="auto"/>
            <w:right w:val="none" w:sz="0" w:space="0" w:color="auto"/>
          </w:divBdr>
          <w:divsChild>
            <w:div w:id="12011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82090">
      <w:bodyDiv w:val="1"/>
      <w:marLeft w:val="0"/>
      <w:marRight w:val="0"/>
      <w:marTop w:val="0"/>
      <w:marBottom w:val="0"/>
      <w:divBdr>
        <w:top w:val="none" w:sz="0" w:space="0" w:color="auto"/>
        <w:left w:val="none" w:sz="0" w:space="0" w:color="auto"/>
        <w:bottom w:val="none" w:sz="0" w:space="0" w:color="auto"/>
        <w:right w:val="none" w:sz="0" w:space="0" w:color="auto"/>
      </w:divBdr>
      <w:divsChild>
        <w:div w:id="857349769">
          <w:marLeft w:val="0"/>
          <w:marRight w:val="0"/>
          <w:marTop w:val="0"/>
          <w:marBottom w:val="0"/>
          <w:divBdr>
            <w:top w:val="none" w:sz="0" w:space="0" w:color="3D3D3D"/>
            <w:left w:val="none" w:sz="0" w:space="0" w:color="3D3D3D"/>
            <w:bottom w:val="none" w:sz="0" w:space="0" w:color="3D3D3D"/>
            <w:right w:val="none" w:sz="0" w:space="0" w:color="3D3D3D"/>
          </w:divBdr>
          <w:divsChild>
            <w:div w:id="9344394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3921477">
      <w:bodyDiv w:val="1"/>
      <w:marLeft w:val="0"/>
      <w:marRight w:val="0"/>
      <w:marTop w:val="0"/>
      <w:marBottom w:val="0"/>
      <w:divBdr>
        <w:top w:val="none" w:sz="0" w:space="0" w:color="auto"/>
        <w:left w:val="none" w:sz="0" w:space="0" w:color="auto"/>
        <w:bottom w:val="none" w:sz="0" w:space="0" w:color="auto"/>
        <w:right w:val="none" w:sz="0" w:space="0" w:color="auto"/>
      </w:divBdr>
      <w:divsChild>
        <w:div w:id="1473328598">
          <w:marLeft w:val="0"/>
          <w:marRight w:val="0"/>
          <w:marTop w:val="0"/>
          <w:marBottom w:val="0"/>
          <w:divBdr>
            <w:top w:val="none" w:sz="0" w:space="0" w:color="auto"/>
            <w:left w:val="none" w:sz="0" w:space="0" w:color="auto"/>
            <w:bottom w:val="none" w:sz="0" w:space="0" w:color="auto"/>
            <w:right w:val="none" w:sz="0" w:space="0" w:color="auto"/>
          </w:divBdr>
          <w:divsChild>
            <w:div w:id="19671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6736">
      <w:bodyDiv w:val="1"/>
      <w:marLeft w:val="0"/>
      <w:marRight w:val="0"/>
      <w:marTop w:val="0"/>
      <w:marBottom w:val="0"/>
      <w:divBdr>
        <w:top w:val="none" w:sz="0" w:space="0" w:color="auto"/>
        <w:left w:val="none" w:sz="0" w:space="0" w:color="auto"/>
        <w:bottom w:val="none" w:sz="0" w:space="0" w:color="auto"/>
        <w:right w:val="none" w:sz="0" w:space="0" w:color="auto"/>
      </w:divBdr>
      <w:divsChild>
        <w:div w:id="1393654756">
          <w:marLeft w:val="0"/>
          <w:marRight w:val="0"/>
          <w:marTop w:val="0"/>
          <w:marBottom w:val="0"/>
          <w:divBdr>
            <w:top w:val="none" w:sz="0" w:space="0" w:color="auto"/>
            <w:left w:val="none" w:sz="0" w:space="0" w:color="auto"/>
            <w:bottom w:val="none" w:sz="0" w:space="0" w:color="auto"/>
            <w:right w:val="none" w:sz="0" w:space="0" w:color="auto"/>
          </w:divBdr>
          <w:divsChild>
            <w:div w:id="10335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20911">
      <w:bodyDiv w:val="1"/>
      <w:marLeft w:val="0"/>
      <w:marRight w:val="0"/>
      <w:marTop w:val="0"/>
      <w:marBottom w:val="0"/>
      <w:divBdr>
        <w:top w:val="none" w:sz="0" w:space="0" w:color="auto"/>
        <w:left w:val="none" w:sz="0" w:space="0" w:color="auto"/>
        <w:bottom w:val="none" w:sz="0" w:space="0" w:color="auto"/>
        <w:right w:val="none" w:sz="0" w:space="0" w:color="auto"/>
      </w:divBdr>
      <w:divsChild>
        <w:div w:id="1152454070">
          <w:marLeft w:val="0"/>
          <w:marRight w:val="0"/>
          <w:marTop w:val="0"/>
          <w:marBottom w:val="0"/>
          <w:divBdr>
            <w:top w:val="none" w:sz="0" w:space="0" w:color="auto"/>
            <w:left w:val="none" w:sz="0" w:space="0" w:color="auto"/>
            <w:bottom w:val="none" w:sz="0" w:space="0" w:color="auto"/>
            <w:right w:val="none" w:sz="0" w:space="0" w:color="auto"/>
          </w:divBdr>
          <w:divsChild>
            <w:div w:id="14569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61513">
      <w:bodyDiv w:val="1"/>
      <w:marLeft w:val="0"/>
      <w:marRight w:val="0"/>
      <w:marTop w:val="0"/>
      <w:marBottom w:val="0"/>
      <w:divBdr>
        <w:top w:val="none" w:sz="0" w:space="0" w:color="auto"/>
        <w:left w:val="none" w:sz="0" w:space="0" w:color="auto"/>
        <w:bottom w:val="none" w:sz="0" w:space="0" w:color="auto"/>
        <w:right w:val="none" w:sz="0" w:space="0" w:color="auto"/>
      </w:divBdr>
      <w:divsChild>
        <w:div w:id="2062315881">
          <w:marLeft w:val="0"/>
          <w:marRight w:val="0"/>
          <w:marTop w:val="0"/>
          <w:marBottom w:val="0"/>
          <w:divBdr>
            <w:top w:val="none" w:sz="0" w:space="0" w:color="auto"/>
            <w:left w:val="none" w:sz="0" w:space="0" w:color="auto"/>
            <w:bottom w:val="none" w:sz="0" w:space="0" w:color="auto"/>
            <w:right w:val="none" w:sz="0" w:space="0" w:color="auto"/>
          </w:divBdr>
          <w:divsChild>
            <w:div w:id="20379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4601">
      <w:bodyDiv w:val="1"/>
      <w:marLeft w:val="0"/>
      <w:marRight w:val="0"/>
      <w:marTop w:val="0"/>
      <w:marBottom w:val="0"/>
      <w:divBdr>
        <w:top w:val="none" w:sz="0" w:space="0" w:color="auto"/>
        <w:left w:val="none" w:sz="0" w:space="0" w:color="auto"/>
        <w:bottom w:val="none" w:sz="0" w:space="0" w:color="auto"/>
        <w:right w:val="none" w:sz="0" w:space="0" w:color="auto"/>
      </w:divBdr>
    </w:div>
    <w:div w:id="2061859179">
      <w:bodyDiv w:val="1"/>
      <w:marLeft w:val="0"/>
      <w:marRight w:val="0"/>
      <w:marTop w:val="0"/>
      <w:marBottom w:val="0"/>
      <w:divBdr>
        <w:top w:val="none" w:sz="0" w:space="0" w:color="auto"/>
        <w:left w:val="none" w:sz="0" w:space="0" w:color="auto"/>
        <w:bottom w:val="none" w:sz="0" w:space="0" w:color="auto"/>
        <w:right w:val="none" w:sz="0" w:space="0" w:color="auto"/>
      </w:divBdr>
    </w:div>
    <w:div w:id="2087994703">
      <w:bodyDiv w:val="1"/>
      <w:marLeft w:val="0"/>
      <w:marRight w:val="0"/>
      <w:marTop w:val="0"/>
      <w:marBottom w:val="0"/>
      <w:divBdr>
        <w:top w:val="none" w:sz="0" w:space="0" w:color="auto"/>
        <w:left w:val="none" w:sz="0" w:space="0" w:color="auto"/>
        <w:bottom w:val="none" w:sz="0" w:space="0" w:color="auto"/>
        <w:right w:val="none" w:sz="0" w:space="0" w:color="auto"/>
      </w:divBdr>
      <w:divsChild>
        <w:div w:id="1797136179">
          <w:marLeft w:val="0"/>
          <w:marRight w:val="0"/>
          <w:marTop w:val="0"/>
          <w:marBottom w:val="0"/>
          <w:divBdr>
            <w:top w:val="none" w:sz="0" w:space="0" w:color="auto"/>
            <w:left w:val="none" w:sz="0" w:space="0" w:color="auto"/>
            <w:bottom w:val="none" w:sz="0" w:space="0" w:color="auto"/>
            <w:right w:val="none" w:sz="0" w:space="0" w:color="auto"/>
          </w:divBdr>
          <w:divsChild>
            <w:div w:id="3388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wickert@mwl-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wl-law.com/wp-content/uploads/2013/03/landlord-tenant-subrogation-in-all-50-stat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wl-law.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woody@mwl-law.com" TargetMode="External"/><Relationship Id="rId4" Type="http://schemas.openxmlformats.org/officeDocument/2006/relationships/settings" Target="settings.xml"/><Relationship Id="rId9" Type="http://schemas.openxmlformats.org/officeDocument/2006/relationships/hyperlink" Target="mailto:gwickert@mwl-law.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912B4-DB72-4812-8337-DEE1DD50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17975</Words>
  <Characters>102464</Characters>
  <Application>Microsoft Office Word</Application>
  <DocSecurity>0</DocSecurity>
  <PresentationFormat/>
  <Lines>853</Lines>
  <Paragraphs>240</Paragraphs>
  <ScaleCrop>false</ScaleCrop>
  <HeadingPairs>
    <vt:vector size="2" baseType="variant">
      <vt:variant>
        <vt:lpstr>Title</vt:lpstr>
      </vt:variant>
      <vt:variant>
        <vt:i4>1</vt:i4>
      </vt:variant>
    </vt:vector>
  </HeadingPairs>
  <TitlesOfParts>
    <vt:vector size="1" baseType="lpstr">
      <vt:lpstr>ANTI-SUBROGATION RULE IN ALL 50 STATES CHART (00214118).DOCX</vt:lpstr>
    </vt:vector>
  </TitlesOfParts>
  <Company>N/A</Company>
  <LinksUpToDate>false</LinksUpToDate>
  <CharactersWithSpaces>120199</CharactersWithSpaces>
  <SharedDoc>false</SharedDoc>
  <HLinks>
    <vt:vector size="24" baseType="variant">
      <vt:variant>
        <vt:i4>5177398</vt:i4>
      </vt:variant>
      <vt:variant>
        <vt:i4>9</vt:i4>
      </vt:variant>
      <vt:variant>
        <vt:i4>0</vt:i4>
      </vt:variant>
      <vt:variant>
        <vt:i4>5</vt:i4>
      </vt:variant>
      <vt:variant>
        <vt:lpwstr>mailto:gwickert@mwl-law.com</vt:lpwstr>
      </vt:variant>
      <vt:variant>
        <vt:lpwstr/>
      </vt:variant>
      <vt:variant>
        <vt:i4>3407973</vt:i4>
      </vt:variant>
      <vt:variant>
        <vt:i4>6</vt:i4>
      </vt:variant>
      <vt:variant>
        <vt:i4>0</vt:i4>
      </vt:variant>
      <vt:variant>
        <vt:i4>5</vt:i4>
      </vt:variant>
      <vt:variant>
        <vt:lpwstr>https://www.mwl-law.com/wp-content/uploads/2013/03/landlord-tenant-subrogation-in-all-50-states.pdf</vt:lpwstr>
      </vt:variant>
      <vt:variant>
        <vt:lpwstr/>
      </vt:variant>
      <vt:variant>
        <vt:i4>4128810</vt:i4>
      </vt:variant>
      <vt:variant>
        <vt:i4>3</vt:i4>
      </vt:variant>
      <vt:variant>
        <vt:i4>0</vt:i4>
      </vt:variant>
      <vt:variant>
        <vt:i4>5</vt:i4>
      </vt:variant>
      <vt:variant>
        <vt:lpwstr>http://www.mwl-law.com/</vt:lpwstr>
      </vt:variant>
      <vt:variant>
        <vt:lpwstr/>
      </vt:variant>
      <vt:variant>
        <vt:i4>5177398</vt:i4>
      </vt:variant>
      <vt:variant>
        <vt:i4>0</vt:i4>
      </vt:variant>
      <vt:variant>
        <vt:i4>0</vt:i4>
      </vt:variant>
      <vt:variant>
        <vt:i4>5</vt:i4>
      </vt:variant>
      <vt:variant>
        <vt:lpwstr>mailto:gwickert@mwl-law.com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ANTI-SUBROGATION RULE IN ALL 50 STATES CHART (00214118).DOCX</dc:title>
  <dc:subject/>
  <dc:creator>jbreen</dc:creator>
  <cp:keywords/>
  <cp:lastModifiedBy>Payton M. White</cp:lastModifiedBy>
  <cp:revision>2</cp:revision>
  <cp:lastPrinted>2025-12-15T19:33:00Z</cp:lastPrinted>
  <dcterms:created xsi:type="dcterms:W3CDTF">2026-06-11T15:05:00Z</dcterms:created>
  <dcterms:modified xsi:type="dcterms:W3CDTF">2026-06-11T15:05:00Z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